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312" w:afterLines="100" w:lineRule="exact" w:line="400"/>
        <w:rPr>
          <w:bCs/>
          <w:iCs/>
          <w:sz w:val="24"/>
        </w:rPr>
      </w:pPr>
      <w:r>
        <w:rPr>
          <w:bCs/>
          <w:iCs/>
          <w:sz w:val="24"/>
        </w:rPr>
        <w:t>证券代码：</w:t>
      </w:r>
      <w:r>
        <w:rPr>
          <w:bCs/>
          <w:iCs/>
          <w:sz w:val="24"/>
        </w:rPr>
        <w:t xml:space="preserve">002205                                </w:t>
      </w:r>
      <w:r>
        <w:rPr>
          <w:bCs/>
          <w:iCs/>
          <w:sz w:val="24"/>
        </w:rPr>
        <w:t>证券简称：国统股份</w:t>
      </w:r>
    </w:p>
    <w:p>
      <w:pPr>
        <w:pStyle w:val="style0"/>
        <w:spacing w:before="156" w:beforeLines="50" w:after="156" w:afterLines="50" w:lineRule="exact" w:line="4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新疆国统管道股份有限公司投资者关系活动记录表</w:t>
      </w:r>
    </w:p>
    <w:p>
      <w:pPr>
        <w:pStyle w:val="style0"/>
        <w:spacing w:lineRule="exact" w:line="400"/>
        <w:rPr>
          <w:bCs/>
          <w:iCs/>
          <w:szCs w:val="21"/>
        </w:rPr>
      </w:pPr>
      <w:r>
        <w:rPr>
          <w:bCs/>
          <w:iCs/>
          <w:sz w:val="24"/>
          <w:szCs w:val="24"/>
        </w:rPr>
        <w:t xml:space="preserve">                                                        </w:t>
      </w:r>
      <w:r>
        <w:rPr>
          <w:bCs/>
          <w:iCs/>
          <w:szCs w:val="21"/>
        </w:rPr>
        <w:t xml:space="preserve"> </w:t>
      </w:r>
      <w:r>
        <w:rPr>
          <w:bCs/>
          <w:iCs/>
          <w:szCs w:val="21"/>
        </w:rPr>
        <w:t>编号：</w:t>
      </w:r>
      <w:r>
        <w:rPr>
          <w:bCs/>
          <w:iCs/>
          <w:szCs w:val="21"/>
        </w:rPr>
        <w:t>2017-00</w:t>
      </w:r>
      <w:r>
        <w:rPr>
          <w:rFonts w:hint="eastAsia"/>
          <w:bCs/>
          <w:iCs/>
          <w:szCs w:val="21"/>
        </w:rPr>
        <w:t>3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8"/>
      </w:tblGrid>
      <w:tr>
        <w:trPr/>
        <w:tc>
          <w:tcPr>
            <w:tcW w:w="3119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jc w:val="center"/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7088" w:type="dxa"/>
            <w:tcBorders/>
            <w:shd w:val="clear" w:color="auto" w:fill="auto"/>
          </w:tcPr>
          <w:p>
            <w:pPr>
              <w:pStyle w:val="style0"/>
              <w:spacing w:lineRule="exact" w:line="400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■</w:t>
            </w:r>
            <w:r>
              <w:rPr>
                <w:szCs w:val="21"/>
              </w:rPr>
              <w:t>特定对象调研</w:t>
            </w:r>
            <w:r>
              <w:rPr>
                <w:szCs w:val="21"/>
              </w:rPr>
              <w:t xml:space="preserve">        </w:t>
            </w:r>
            <w:r>
              <w:rPr>
                <w:bCs/>
                <w:iCs/>
                <w:szCs w:val="21"/>
              </w:rPr>
              <w:t>□</w:t>
            </w:r>
            <w:r>
              <w:rPr>
                <w:szCs w:val="21"/>
              </w:rPr>
              <w:t>分析</w:t>
            </w:r>
            <w:r>
              <w:rPr>
                <w:szCs w:val="21"/>
              </w:rPr>
              <w:t>师会议</w:t>
            </w:r>
            <w:r>
              <w:rPr>
                <w:szCs w:val="21"/>
              </w:rPr>
              <w:t xml:space="preserve">       </w:t>
            </w:r>
            <w:r>
              <w:rPr>
                <w:bCs/>
                <w:iCs/>
                <w:szCs w:val="21"/>
              </w:rPr>
              <w:t>□</w:t>
            </w:r>
            <w:r>
              <w:rPr>
                <w:szCs w:val="21"/>
              </w:rPr>
              <w:t>媒体采访</w:t>
            </w:r>
            <w:r>
              <w:rPr>
                <w:szCs w:val="21"/>
              </w:rPr>
              <w:t xml:space="preserve">  </w:t>
            </w:r>
          </w:p>
          <w:p>
            <w:pPr>
              <w:pStyle w:val="style0"/>
              <w:spacing w:lineRule="exact" w:line="400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□</w:t>
            </w:r>
            <w:r>
              <w:rPr>
                <w:szCs w:val="21"/>
              </w:rPr>
              <w:t>业绩说明会</w:t>
            </w:r>
            <w:r>
              <w:rPr>
                <w:szCs w:val="21"/>
              </w:rPr>
              <w:t xml:space="preserve">          </w:t>
            </w:r>
            <w:r>
              <w:rPr>
                <w:bCs/>
                <w:iCs/>
                <w:szCs w:val="21"/>
              </w:rPr>
              <w:t>□</w:t>
            </w:r>
            <w:r>
              <w:rPr>
                <w:szCs w:val="21"/>
              </w:rPr>
              <w:t>新闻发布会</w:t>
            </w:r>
            <w:r>
              <w:rPr>
                <w:szCs w:val="21"/>
              </w:rPr>
              <w:t xml:space="preserve">       </w:t>
            </w:r>
            <w:r>
              <w:rPr>
                <w:bCs/>
                <w:iCs/>
                <w:szCs w:val="21"/>
              </w:rPr>
              <w:t>□</w:t>
            </w:r>
            <w:r>
              <w:rPr>
                <w:szCs w:val="21"/>
              </w:rPr>
              <w:t>路演活动</w:t>
            </w:r>
          </w:p>
          <w:p>
            <w:pPr>
              <w:pStyle w:val="style0"/>
              <w:spacing w:lineRule="exact" w:line="400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□</w:t>
            </w:r>
            <w:r>
              <w:rPr>
                <w:szCs w:val="21"/>
              </w:rPr>
              <w:t>现场参观</w:t>
            </w:r>
            <w:r>
              <w:rPr>
                <w:bCs/>
                <w:iCs/>
                <w:szCs w:val="21"/>
              </w:rPr>
              <w:tab/>
            </w:r>
            <w:r>
              <w:rPr>
                <w:bCs/>
                <w:iCs/>
                <w:szCs w:val="21"/>
              </w:rPr>
              <w:t xml:space="preserve">           □</w:t>
            </w:r>
            <w:r>
              <w:rPr>
                <w:szCs w:val="21"/>
              </w:rPr>
              <w:t>其他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（</w:t>
            </w:r>
            <w:r>
              <w:rPr>
                <w:szCs w:val="21"/>
                <w:u w:val="single"/>
              </w:rPr>
              <w:t>请文字</w:t>
            </w:r>
            <w:r>
              <w:rPr>
                <w:szCs w:val="21"/>
                <w:u w:val="single"/>
              </w:rPr>
              <w:t>说明其他活动内容）</w:t>
            </w:r>
          </w:p>
        </w:tc>
      </w:tr>
      <w:tr>
        <w:tblPrEx/>
        <w:trPr/>
        <w:tc>
          <w:tcPr>
            <w:tcW w:w="3119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jc w:val="center"/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08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柯世锋</w:t>
            </w:r>
            <w:r>
              <w:rPr>
                <w:rFonts w:hint="eastAsia"/>
                <w:bCs/>
                <w:iCs/>
                <w:szCs w:val="21"/>
              </w:rPr>
              <w:t>（</w:t>
            </w:r>
            <w:r>
              <w:rPr>
                <w:rFonts w:hint="eastAsia"/>
                <w:bCs/>
                <w:iCs/>
                <w:szCs w:val="21"/>
              </w:rPr>
              <w:t>开心龙</w:t>
            </w:r>
            <w:r>
              <w:rPr>
                <w:rFonts w:hint="eastAsia"/>
                <w:bCs/>
                <w:iCs/>
                <w:szCs w:val="21"/>
              </w:rPr>
              <w:t>基金管理公司</w:t>
            </w:r>
            <w:r>
              <w:rPr>
                <w:rFonts w:hint="eastAsia"/>
                <w:bCs/>
                <w:iCs/>
                <w:szCs w:val="21"/>
              </w:rPr>
              <w:t>）</w:t>
            </w:r>
            <w:r>
              <w:rPr>
                <w:rFonts w:hint="eastAsia"/>
                <w:bCs/>
                <w:iCs/>
                <w:szCs w:val="21"/>
              </w:rPr>
              <w:t>、黄志青（</w:t>
            </w:r>
            <w:r>
              <w:rPr>
                <w:rFonts w:hint="eastAsia"/>
                <w:bCs/>
                <w:iCs/>
                <w:szCs w:val="21"/>
              </w:rPr>
              <w:t>瀚伦投资</w:t>
            </w:r>
            <w:r>
              <w:rPr>
                <w:rFonts w:hint="eastAsia"/>
                <w:bCs/>
                <w:iCs/>
                <w:szCs w:val="21"/>
              </w:rPr>
              <w:t>顾问（上海）有限公司）</w:t>
            </w:r>
          </w:p>
        </w:tc>
      </w:tr>
      <w:tr>
        <w:tblPrEx/>
        <w:trPr/>
        <w:tc>
          <w:tcPr>
            <w:tcW w:w="3119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jc w:val="center"/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时间</w:t>
            </w:r>
          </w:p>
        </w:tc>
        <w:tc>
          <w:tcPr>
            <w:tcW w:w="708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jc w:val="left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2017</w:t>
            </w:r>
            <w:r>
              <w:rPr>
                <w:bCs/>
                <w:iCs/>
                <w:szCs w:val="21"/>
              </w:rPr>
              <w:t>年</w:t>
            </w:r>
            <w:r>
              <w:rPr>
                <w:rFonts w:hint="eastAsia"/>
                <w:bCs/>
                <w:iCs/>
                <w:szCs w:val="21"/>
              </w:rPr>
              <w:t>9</w:t>
            </w:r>
            <w:r>
              <w:rPr>
                <w:bCs/>
                <w:iCs/>
                <w:szCs w:val="21"/>
              </w:rPr>
              <w:t>月</w:t>
            </w:r>
            <w:r>
              <w:rPr>
                <w:rFonts w:hint="eastAsia"/>
                <w:bCs/>
                <w:iCs/>
                <w:szCs w:val="21"/>
              </w:rPr>
              <w:t>13</w:t>
            </w:r>
            <w:r>
              <w:rPr>
                <w:bCs/>
                <w:iCs/>
                <w:szCs w:val="21"/>
              </w:rPr>
              <w:t>日</w:t>
            </w:r>
            <w:r>
              <w:rPr>
                <w:rFonts w:hint="eastAsia"/>
                <w:bCs/>
                <w:iCs/>
                <w:szCs w:val="21"/>
              </w:rPr>
              <w:t>15:00</w:t>
            </w:r>
          </w:p>
        </w:tc>
      </w:tr>
      <w:tr>
        <w:tblPrEx/>
        <w:trPr/>
        <w:tc>
          <w:tcPr>
            <w:tcW w:w="3119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jc w:val="center"/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地点</w:t>
            </w:r>
          </w:p>
        </w:tc>
        <w:tc>
          <w:tcPr>
            <w:tcW w:w="708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jc w:val="left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公司三楼会议室</w:t>
            </w:r>
          </w:p>
        </w:tc>
      </w:tr>
      <w:tr>
        <w:tblPrEx/>
        <w:trPr/>
        <w:tc>
          <w:tcPr>
            <w:tcW w:w="3119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jc w:val="center"/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08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jc w:val="left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总经理卢兆东先生、财务</w:t>
            </w:r>
            <w:r>
              <w:rPr>
                <w:rFonts w:hint="eastAsia"/>
                <w:bCs/>
                <w:iCs/>
                <w:szCs w:val="21"/>
              </w:rPr>
              <w:t>经理李文卿先生、</w:t>
            </w:r>
            <w:r>
              <w:rPr>
                <w:bCs/>
                <w:iCs/>
                <w:szCs w:val="21"/>
              </w:rPr>
              <w:t>证券事务代表郭</w:t>
            </w:r>
            <w:r>
              <w:rPr>
                <w:rFonts w:hint="eastAsia"/>
                <w:bCs/>
                <w:iCs/>
                <w:szCs w:val="21"/>
              </w:rPr>
              <w:t>静</w:t>
            </w:r>
            <w:r>
              <w:rPr>
                <w:bCs/>
                <w:iCs/>
                <w:szCs w:val="21"/>
              </w:rPr>
              <w:t>女士</w:t>
            </w:r>
          </w:p>
        </w:tc>
      </w:tr>
      <w:tr>
        <w:tblPrEx/>
        <w:trPr>
          <w:trHeight w:val="557" w:hRule="atLeast"/>
        </w:trPr>
        <w:tc>
          <w:tcPr>
            <w:tcW w:w="3119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jc w:val="center"/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088" w:type="dxa"/>
            <w:tcBorders/>
            <w:shd w:val="clear" w:color="auto" w:fill="auto"/>
          </w:tcPr>
          <w:p>
            <w:pPr>
              <w:pStyle w:val="style179"/>
              <w:numPr>
                <w:ilvl w:val="0"/>
                <w:numId w:val="1"/>
              </w:numPr>
              <w:spacing w:lineRule="exact" w:line="380"/>
              <w:ind w:firstLineChars="0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由董事、总经理卢兆东先生介绍公司基本情况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exact" w:line="380"/>
              <w:ind w:firstLineChars="0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公司产能情况</w:t>
            </w:r>
          </w:p>
          <w:p>
            <w:pPr>
              <w:pStyle w:val="style0"/>
              <w:spacing w:lineRule="exact" w:line="380"/>
              <w:ind w:firstLine="420" w:firstLineChars="200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答：</w:t>
            </w:r>
            <w:r>
              <w:rPr>
                <w:rFonts w:hint="eastAsia"/>
                <w:bCs/>
                <w:iCs/>
                <w:szCs w:val="21"/>
              </w:rPr>
              <w:t>目前公司产能不饱和，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项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目</w:t>
            </w:r>
            <w:r>
              <w:rPr>
                <w:rFonts w:hint="eastAsia"/>
                <w:bCs/>
                <w:iCs/>
                <w:szCs w:val="21"/>
              </w:rPr>
              <w:t>分布不均。</w:t>
            </w:r>
            <w:r>
              <w:rPr>
                <w:rFonts w:hint="eastAsia"/>
                <w:bCs/>
                <w:iCs/>
                <w:szCs w:val="21"/>
              </w:rPr>
              <w:t>公司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目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前</w:t>
            </w:r>
            <w:r>
              <w:rPr>
                <w:rFonts w:hint="eastAsia"/>
                <w:bCs/>
                <w:iCs/>
                <w:szCs w:val="21"/>
              </w:rPr>
              <w:t>共有五个事业部，分别为西北事业部、西南事业部、华北事业部、华南事业部、东北事业部。根据近两年的订单情况，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业务</w:t>
            </w:r>
            <w:r>
              <w:rPr>
                <w:rFonts w:hint="eastAsia"/>
                <w:bCs/>
                <w:iCs/>
                <w:szCs w:val="21"/>
              </w:rPr>
              <w:t>主要集中在西北、东北、西南等地区。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exact" w:line="380"/>
              <w:ind w:firstLineChars="0"/>
              <w:rPr>
                <w:rFonts w:hint="eastAsia"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原材料价格变动对公司的影响</w:t>
            </w:r>
          </w:p>
          <w:p>
            <w:pPr>
              <w:pStyle w:val="style0"/>
              <w:spacing w:lineRule="exact" w:line="380"/>
              <w:ind w:firstLine="420" w:firstLineChars="200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答：</w:t>
            </w:r>
            <w:r>
              <w:rPr>
                <w:rFonts w:hint="eastAsia"/>
                <w:bCs/>
                <w:iCs/>
                <w:szCs w:val="21"/>
              </w:rPr>
              <w:t>公司年初根据项目情况制定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生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产</w:t>
            </w:r>
            <w:r>
              <w:rPr>
                <w:rFonts w:hint="eastAsia"/>
                <w:bCs/>
                <w:iCs/>
                <w:szCs w:val="21"/>
              </w:rPr>
              <w:t>计划，对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主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要</w:t>
            </w:r>
            <w:r>
              <w:rPr>
                <w:rFonts w:hint="eastAsia"/>
                <w:bCs/>
                <w:iCs/>
                <w:szCs w:val="21"/>
              </w:rPr>
              <w:t>原材料</w:t>
            </w:r>
            <w:r>
              <w:rPr>
                <w:rFonts w:hint="eastAsia"/>
                <w:bCs/>
                <w:iCs/>
                <w:szCs w:val="21"/>
              </w:rPr>
              <w:t>会提前锁定集中采购，同时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管</w:t>
            </w:r>
            <w:r>
              <w:rPr>
                <w:rFonts w:hint="eastAsia"/>
                <w:bCs/>
                <w:iCs/>
                <w:szCs w:val="21"/>
                <w:lang w:eastAsia="zh-CN"/>
              </w:rPr>
              <w:t>材</w:t>
            </w:r>
            <w:r>
              <w:rPr>
                <w:rFonts w:hint="eastAsia"/>
                <w:bCs/>
                <w:iCs/>
                <w:szCs w:val="21"/>
              </w:rPr>
              <w:t>采购合同中也会约定调价机制，一般当年的原材料价格变动对公司影响不大。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exact" w:line="380"/>
              <w:ind w:firstLineChars="0"/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关于</w:t>
            </w:r>
            <w:r>
              <w:rPr>
                <w:b/>
                <w:bCs/>
                <w:iCs/>
                <w:szCs w:val="21"/>
              </w:rPr>
              <w:t>PPP</w:t>
            </w:r>
            <w:r>
              <w:rPr>
                <w:b/>
                <w:bCs/>
                <w:iCs/>
                <w:szCs w:val="21"/>
              </w:rPr>
              <w:t>业务</w:t>
            </w:r>
            <w:r>
              <w:rPr>
                <w:rFonts w:hint="eastAsia"/>
                <w:b/>
                <w:bCs/>
                <w:iCs/>
                <w:szCs w:val="21"/>
              </w:rPr>
              <w:t>的定位</w:t>
            </w:r>
          </w:p>
          <w:p>
            <w:pPr>
              <w:pStyle w:val="style0"/>
              <w:spacing w:lineRule="exact" w:line="380"/>
              <w:ind w:firstLine="420" w:firstLineChars="200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答：</w:t>
            </w:r>
            <w:r>
              <w:rPr>
                <w:rFonts w:hint="eastAsia"/>
                <w:bCs/>
                <w:iCs/>
                <w:szCs w:val="21"/>
              </w:rPr>
              <w:t>目前公司</w:t>
            </w:r>
            <w:r>
              <w:rPr>
                <w:bCs/>
                <w:iCs/>
                <w:szCs w:val="21"/>
              </w:rPr>
              <w:t>在保持传统主业稳定发展的基础上</w:t>
            </w:r>
            <w:r>
              <w:rPr>
                <w:rFonts w:hint="eastAsia"/>
                <w:bCs/>
                <w:iCs/>
                <w:szCs w:val="21"/>
              </w:rPr>
              <w:t>，</w:t>
            </w:r>
            <w:r>
              <w:rPr>
                <w:bCs/>
                <w:iCs/>
                <w:szCs w:val="21"/>
              </w:rPr>
              <w:t>积极介入</w:t>
            </w:r>
            <w:r>
              <w:rPr>
                <w:bCs/>
                <w:iCs/>
                <w:szCs w:val="21"/>
              </w:rPr>
              <w:t>与公司业务相关相近的</w:t>
            </w:r>
            <w:r>
              <w:rPr>
                <w:rFonts w:hint="eastAsia"/>
                <w:bCs/>
                <w:iCs/>
                <w:szCs w:val="21"/>
              </w:rPr>
              <w:t>优质</w:t>
            </w:r>
            <w:r>
              <w:rPr>
                <w:bCs/>
                <w:iCs/>
                <w:szCs w:val="21"/>
              </w:rPr>
              <w:t>项目</w:t>
            </w:r>
            <w:r>
              <w:rPr>
                <w:rFonts w:hint="eastAsia"/>
                <w:bCs/>
                <w:iCs/>
                <w:szCs w:val="21"/>
              </w:rPr>
              <w:t>，</w:t>
            </w:r>
            <w:r>
              <w:rPr>
                <w:bCs/>
                <w:iCs/>
                <w:szCs w:val="21"/>
              </w:rPr>
              <w:t>如</w:t>
            </w:r>
            <w:r>
              <w:rPr>
                <w:bCs/>
                <w:iCs/>
                <w:szCs w:val="21"/>
              </w:rPr>
              <w:t>水产业链</w:t>
            </w:r>
            <w:r>
              <w:rPr>
                <w:rFonts w:hint="eastAsia"/>
                <w:bCs/>
                <w:iCs/>
                <w:szCs w:val="21"/>
              </w:rPr>
              <w:t>、</w:t>
            </w:r>
            <w:r>
              <w:rPr>
                <w:bCs/>
                <w:iCs/>
                <w:szCs w:val="21"/>
              </w:rPr>
              <w:t>地下综合管廊</w:t>
            </w:r>
            <w:r>
              <w:rPr>
                <w:rFonts w:hint="eastAsia"/>
                <w:bCs/>
                <w:iCs/>
                <w:szCs w:val="21"/>
              </w:rPr>
              <w:t>、</w:t>
            </w:r>
            <w:r>
              <w:rPr>
                <w:bCs/>
                <w:iCs/>
                <w:szCs w:val="21"/>
              </w:rPr>
              <w:t>市政基础设施建设等</w:t>
            </w:r>
            <w:r>
              <w:rPr>
                <w:rFonts w:hint="eastAsia"/>
                <w:bCs/>
                <w:iCs/>
                <w:szCs w:val="21"/>
              </w:rPr>
              <w:t>。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exact" w:line="380"/>
              <w:ind w:firstLineChars="0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环保监察对公司的影响</w:t>
            </w:r>
          </w:p>
          <w:p>
            <w:pPr>
              <w:pStyle w:val="style0"/>
              <w:spacing w:lineRule="exact" w:line="380"/>
              <w:ind w:firstLine="420" w:firstLineChars="200"/>
              <w:rPr>
                <w:rFonts w:hint="eastAsia"/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答：</w:t>
            </w:r>
            <w:r>
              <w:rPr>
                <w:bCs/>
                <w:iCs/>
                <w:szCs w:val="21"/>
              </w:rPr>
              <w:t>对于某些区域来说</w:t>
            </w:r>
            <w:r>
              <w:rPr>
                <w:rFonts w:hint="eastAsia"/>
                <w:bCs/>
                <w:iCs/>
                <w:szCs w:val="21"/>
              </w:rPr>
              <w:t>或多或少</w:t>
            </w:r>
            <w:r>
              <w:rPr>
                <w:bCs/>
                <w:iCs/>
                <w:szCs w:val="21"/>
              </w:rPr>
              <w:t>有一定的影响</w:t>
            </w:r>
            <w:r>
              <w:rPr>
                <w:rFonts w:hint="eastAsia"/>
                <w:bCs/>
                <w:iCs/>
                <w:szCs w:val="21"/>
              </w:rPr>
              <w:t>。</w:t>
            </w:r>
            <w:r>
              <w:rPr>
                <w:bCs/>
                <w:iCs/>
                <w:szCs w:val="21"/>
              </w:rPr>
              <w:t>公司</w:t>
            </w:r>
            <w:r>
              <w:rPr>
                <w:bCs/>
                <w:iCs/>
                <w:szCs w:val="21"/>
              </w:rPr>
              <w:t>支持此项工作的开展</w:t>
            </w:r>
            <w:r>
              <w:rPr>
                <w:rFonts w:hint="eastAsia"/>
                <w:bCs/>
                <w:iCs/>
                <w:szCs w:val="21"/>
              </w:rPr>
              <w:t>，积极</w:t>
            </w:r>
            <w:r>
              <w:rPr>
                <w:bCs/>
                <w:iCs/>
                <w:szCs w:val="21"/>
              </w:rPr>
              <w:t>履行社会责任</w:t>
            </w:r>
            <w:r>
              <w:rPr>
                <w:rFonts w:hint="eastAsia"/>
                <w:bCs/>
                <w:iCs/>
                <w:szCs w:val="21"/>
              </w:rPr>
              <w:t>。</w:t>
            </w:r>
          </w:p>
          <w:p>
            <w:pPr>
              <w:pStyle w:val="style179"/>
              <w:numPr>
                <w:ilvl w:val="0"/>
                <w:numId w:val="1"/>
              </w:numPr>
              <w:spacing w:lineRule="exact" w:line="380"/>
              <w:ind w:firstLineChars="0"/>
              <w:rPr>
                <w:rFonts w:hint="eastAsia"/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是否有海外项目的承接</w:t>
            </w:r>
          </w:p>
          <w:p>
            <w:pPr>
              <w:pStyle w:val="style0"/>
              <w:spacing w:lineRule="exact" w:line="380"/>
              <w:ind w:firstLine="420" w:firstLineChars="200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答：</w:t>
            </w:r>
            <w:r>
              <w:rPr>
                <w:rFonts w:hint="eastAsia"/>
                <w:bCs/>
                <w:iCs/>
                <w:szCs w:val="21"/>
              </w:rPr>
              <w:t>公司最初制定的发展战略</w:t>
            </w:r>
            <w:r>
              <w:rPr>
                <w:bCs/>
                <w:iCs/>
                <w:szCs w:val="21"/>
              </w:rPr>
              <w:t>就是</w:t>
            </w:r>
            <w:r>
              <w:rPr>
                <w:rFonts w:hint="eastAsia"/>
                <w:bCs/>
                <w:iCs/>
                <w:szCs w:val="21"/>
              </w:rPr>
              <w:t>“立足新疆、走向全国、走出国门”，希望能借助中国建材集团有限公司的平台</w:t>
            </w:r>
            <w:r>
              <w:rPr>
                <w:rFonts w:hint="eastAsia"/>
                <w:bCs/>
                <w:iCs/>
                <w:szCs w:val="21"/>
              </w:rPr>
              <w:t>，走出国门，参与</w:t>
            </w:r>
            <w:r>
              <w:rPr>
                <w:rFonts w:hint="eastAsia"/>
                <w:bCs/>
                <w:iCs/>
                <w:szCs w:val="21"/>
              </w:rPr>
              <w:t>与</w:t>
            </w:r>
            <w:r>
              <w:rPr>
                <w:rFonts w:hint="eastAsia"/>
                <w:bCs/>
                <w:iCs/>
                <w:szCs w:val="21"/>
              </w:rPr>
              <w:t>公司业务相关相近的一些</w:t>
            </w:r>
            <w:bookmarkStart w:id="0" w:name="_GoBack"/>
            <w:bookmarkEnd w:id="0"/>
            <w:r>
              <w:rPr>
                <w:rFonts w:hint="eastAsia"/>
                <w:bCs/>
                <w:iCs/>
                <w:szCs w:val="21"/>
              </w:rPr>
              <w:t>项目。</w:t>
            </w:r>
          </w:p>
        </w:tc>
      </w:tr>
      <w:tr>
        <w:tblPrEx/>
        <w:trPr/>
        <w:tc>
          <w:tcPr>
            <w:tcW w:w="3119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center"/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附件清单（如有）</w:t>
            </w:r>
          </w:p>
        </w:tc>
        <w:tc>
          <w:tcPr>
            <w:tcW w:w="708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无</w:t>
            </w:r>
          </w:p>
        </w:tc>
      </w:tr>
      <w:tr>
        <w:tblPrEx/>
        <w:trPr>
          <w:trHeight w:val="151" w:hRule="atLeast"/>
        </w:trPr>
        <w:tc>
          <w:tcPr>
            <w:tcW w:w="3119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center"/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日期</w:t>
            </w:r>
          </w:p>
        </w:tc>
        <w:tc>
          <w:tcPr>
            <w:tcW w:w="7088" w:type="dxa"/>
            <w:tcBorders/>
            <w:shd w:val="clear" w:color="auto" w:fill="auto"/>
          </w:tcPr>
          <w:p>
            <w:pPr>
              <w:pStyle w:val="style0"/>
              <w:spacing w:lineRule="exact" w:line="380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2017</w:t>
            </w:r>
            <w:r>
              <w:rPr>
                <w:bCs/>
                <w:iCs/>
                <w:szCs w:val="21"/>
              </w:rPr>
              <w:t>年</w:t>
            </w:r>
            <w:r>
              <w:rPr>
                <w:rFonts w:hint="eastAsia"/>
                <w:bCs/>
                <w:iCs/>
                <w:szCs w:val="21"/>
              </w:rPr>
              <w:t>9</w:t>
            </w:r>
            <w:r>
              <w:rPr>
                <w:bCs/>
                <w:iCs/>
                <w:szCs w:val="21"/>
              </w:rPr>
              <w:t>月</w:t>
            </w:r>
            <w:r>
              <w:rPr>
                <w:rFonts w:hint="eastAsia"/>
                <w:bCs/>
                <w:iCs/>
                <w:szCs w:val="21"/>
              </w:rPr>
              <w:t>13</w:t>
            </w:r>
            <w:r>
              <w:rPr>
                <w:bCs/>
                <w:iCs/>
                <w:szCs w:val="21"/>
              </w:rPr>
              <w:t>日</w:t>
            </w:r>
          </w:p>
        </w:tc>
      </w:tr>
    </w:tbl>
    <w:p>
      <w:pPr>
        <w:pStyle w:val="style0"/>
        <w:tabs>
          <w:tab w:val="left" w:leader="none" w:pos="1050"/>
        </w:tabs>
        <w:rPr>
          <w:sz w:val="24"/>
          <w:szCs w:val="24"/>
        </w:rPr>
      </w:pPr>
    </w:p>
    <w:p>
      <w:pPr>
        <w:pStyle w:val="style0"/>
        <w:tabs>
          <w:tab w:val="left" w:leader="none" w:pos="1050"/>
        </w:tabs>
        <w:rPr>
          <w:sz w:val="24"/>
          <w:szCs w:val="24"/>
        </w:rPr>
      </w:pPr>
    </w:p>
    <w:sectPr>
      <w:pgSz w:w="11906" w:h="16838" w:orient="portrait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CD24AB2"/>
    <w:lvl w:ilvl="0" w:tplc="F98C21D8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2572025E"/>
    <w:lvl w:ilvl="0" w:tplc="5ED0B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0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60" w:after="260" w:lineRule="auto" w:line="416"/>
      <w:outlineLvl w:val="1"/>
    </w:pPr>
    <w:rPr>
      <w:rFonts w:ascii="Cambria" w:cs="宋体" w:eastAsia="宋体" w:hAnsi="Cambria"/>
      <w:b/>
      <w:bCs/>
      <w:sz w:val="32"/>
      <w:szCs w:val="32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1 Char"/>
    <w:basedOn w:val="style65"/>
    <w:next w:val="style4097"/>
    <w:link w:val="style1"/>
    <w:uiPriority w:val="99"/>
    <w:rPr>
      <w:rFonts w:ascii="Times New Roman" w:cs="Times New Roman" w:eastAsia="宋体" w:hAnsi="Times New Roman"/>
      <w:b/>
      <w:bCs/>
      <w:kern w:val="44"/>
      <w:sz w:val="44"/>
      <w:szCs w:val="44"/>
    </w:rPr>
  </w:style>
  <w:style w:type="character" w:customStyle="1" w:styleId="style4098">
    <w:name w:val="标题 2 Char"/>
    <w:basedOn w:val="style65"/>
    <w:next w:val="style4098"/>
    <w:link w:val="style2"/>
    <w:uiPriority w:val="9"/>
    <w:rPr>
      <w:rFonts w:ascii="Cambria" w:cs="宋体" w:eastAsia="宋体" w:hAnsi="Cambria"/>
      <w:b/>
      <w:bCs/>
      <w:sz w:val="32"/>
      <w:szCs w:val="32"/>
    </w:rPr>
  </w:style>
  <w:style w:type="character" w:customStyle="1" w:styleId="style4099">
    <w:name w:val="标题 3 Char"/>
    <w:basedOn w:val="style65"/>
    <w:next w:val="style4099"/>
    <w:link w:val="style3"/>
    <w:uiPriority w:val="9"/>
    <w:rPr>
      <w:rFonts w:ascii="Times New Roman" w:cs="Times New Roman" w:eastAsia="宋体" w:hAnsi="Times New Roman"/>
      <w:b/>
      <w:bCs/>
      <w:sz w:val="32"/>
      <w:szCs w:val="32"/>
    </w:rPr>
  </w:style>
  <w:style w:type="paragraph" w:styleId="style157">
    <w:name w:val="No Spacing"/>
    <w:next w:val="style157"/>
    <w:link w:val="style4100"/>
    <w:qFormat/>
    <w:uiPriority w:val="1"/>
    <w:pPr/>
    <w:rPr>
      <w:kern w:val="0"/>
      <w:sz w:val="22"/>
    </w:rPr>
  </w:style>
  <w:style w:type="character" w:customStyle="1" w:styleId="style4100">
    <w:name w:val="无间隔 Char"/>
    <w:basedOn w:val="style65"/>
    <w:next w:val="style4100"/>
    <w:link w:val="style157"/>
    <w:uiPriority w:val="1"/>
    <w:rPr>
      <w:kern w:val="0"/>
      <w:sz w:val="22"/>
    </w:rPr>
  </w:style>
  <w:style w:type="paragraph" w:styleId="style153">
    <w:name w:val="Balloon Text"/>
    <w:basedOn w:val="style0"/>
    <w:next w:val="style153"/>
    <w:link w:val="style4101"/>
    <w:uiPriority w:val="99"/>
    <w:pPr/>
    <w:rPr>
      <w:sz w:val="18"/>
      <w:szCs w:val="18"/>
    </w:rPr>
  </w:style>
  <w:style w:type="character" w:customStyle="1" w:styleId="style4101">
    <w:name w:val="批注框文本 Char"/>
    <w:basedOn w:val="style65"/>
    <w:next w:val="style4101"/>
    <w:link w:val="style153"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266">
    <w:name w:val="TOC Heading"/>
    <w:basedOn w:val="style1"/>
    <w:next w:val="style0"/>
    <w:qFormat/>
    <w:uiPriority w:val="39"/>
    <w:pPr>
      <w:widowControl/>
      <w:spacing w:before="480" w:after="0" w:lineRule="auto" w:line="276"/>
      <w:jc w:val="left"/>
      <w:outlineLvl w:val="9"/>
    </w:pPr>
    <w:rPr>
      <w:rFonts w:ascii="Cambria" w:cs="宋体" w:eastAsia="宋体" w:hAnsi="Cambria"/>
      <w:color w:val="365f91"/>
      <w:kern w:val="0"/>
      <w:sz w:val="28"/>
      <w:szCs w:val="28"/>
    </w:rPr>
  </w:style>
  <w:style w:type="paragraph" w:styleId="style20">
    <w:name w:val="toc 2"/>
    <w:basedOn w:val="style0"/>
    <w:next w:val="style0"/>
    <w:uiPriority w:val="39"/>
    <w:pPr>
      <w:ind w:left="420" w:leftChars="200"/>
    </w:pPr>
    <w:rPr>
      <w:sz w:val="2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9">
    <w:name w:val="toc 1"/>
    <w:basedOn w:val="style0"/>
    <w:next w:val="style0"/>
    <w:uiPriority w:val="39"/>
    <w:pPr/>
    <w:rPr>
      <w:sz w:val="28"/>
    </w:rPr>
  </w:style>
  <w:style w:type="paragraph" w:styleId="style31">
    <w:name w:val="header"/>
    <w:basedOn w:val="style0"/>
    <w:next w:val="style31"/>
    <w:link w:val="style4102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2">
    <w:name w:val="页眉 Char"/>
    <w:basedOn w:val="style65"/>
    <w:next w:val="style4102"/>
    <w:link w:val="style31"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3">
    <w:name w:val="页脚 Char"/>
    <w:basedOn w:val="style65"/>
    <w:next w:val="style4103"/>
    <w:link w:val="style32"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4B35-C8C8-4A7C-980A-62DE5B11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Words>651</Words>
  <Pages>1</Pages>
  <Characters>677</Characters>
  <Application>WPS Office</Application>
  <DocSecurity>0</DocSecurity>
  <Paragraphs>41</Paragraphs>
  <ScaleCrop>false</ScaleCrop>
  <LinksUpToDate>false</LinksUpToDate>
  <CharactersWithSpaces>813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2016-07-06T06:37:00Z</dcterms:created>
  <dc:creator>王忻[xinwang]</dc:creator>
  <lastModifiedBy>HUAWEI NXT-AL10</lastModifiedBy>
  <dcterms:modified xsi:type="dcterms:W3CDTF">2017-09-13T11:33:35Z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