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312" w:afterLines="100" w:lineRule="exact" w:line="400"/>
        <w:rPr>
          <w:bCs/>
          <w:iCs/>
          <w:sz w:val="24"/>
        </w:rPr>
      </w:pPr>
      <w:r>
        <w:rPr>
          <w:bCs/>
          <w:iCs/>
          <w:sz w:val="24"/>
        </w:rPr>
        <w:t>证券代码：</w:t>
      </w:r>
      <w:r>
        <w:rPr>
          <w:bCs/>
          <w:iCs/>
          <w:sz w:val="24"/>
        </w:rPr>
        <w:t xml:space="preserve">002205                                </w:t>
      </w:r>
      <w:r>
        <w:rPr>
          <w:bCs/>
          <w:iCs/>
          <w:sz w:val="24"/>
        </w:rPr>
        <w:t>证券简称：国统股份</w:t>
      </w:r>
    </w:p>
    <w:p>
      <w:pPr>
        <w:pStyle w:val="style0"/>
        <w:spacing w:before="156" w:beforeLines="50" w:after="156" w:afterLines="50" w:lineRule="exact" w:line="400"/>
        <w:jc w:val="center"/>
        <w:rPr>
          <w:b/>
          <w:bCs/>
          <w:iCs/>
          <w:sz w:val="28"/>
          <w:szCs w:val="28"/>
        </w:rPr>
      </w:pPr>
      <w:r>
        <w:rPr>
          <w:b/>
          <w:bCs/>
          <w:iCs/>
          <w:sz w:val="28"/>
          <w:szCs w:val="28"/>
        </w:rPr>
        <w:t>新疆国统管道股份有限公司投资者关系活动记录表</w:t>
      </w:r>
    </w:p>
    <w:p>
      <w:pPr>
        <w:pStyle w:val="style0"/>
        <w:spacing w:lineRule="exact" w:line="400"/>
        <w:rPr>
          <w:bCs/>
          <w:iCs/>
          <w:szCs w:val="21"/>
        </w:rPr>
      </w:pPr>
      <w:r>
        <w:rPr>
          <w:bCs/>
          <w:iCs/>
          <w:sz w:val="24"/>
          <w:szCs w:val="24"/>
        </w:rPr>
        <w:t xml:space="preserve">                                                        </w:t>
      </w:r>
      <w:r>
        <w:rPr>
          <w:bCs/>
          <w:iCs/>
          <w:szCs w:val="21"/>
        </w:rPr>
        <w:t xml:space="preserve"> </w:t>
      </w:r>
      <w:r>
        <w:rPr>
          <w:bCs/>
          <w:iCs/>
          <w:szCs w:val="21"/>
        </w:rPr>
        <w:t>编号：</w:t>
      </w:r>
      <w:r>
        <w:rPr>
          <w:bCs/>
          <w:iCs/>
          <w:szCs w:val="21"/>
        </w:rPr>
        <w:t>2017-00</w:t>
      </w:r>
      <w:r>
        <w:rPr>
          <w:rFonts w:hint="eastAsia"/>
          <w:bCs/>
          <w:iCs/>
          <w:szCs w:val="21"/>
        </w:rPr>
        <w:t>2</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7088"/>
      </w:tblGrid>
      <w:tr>
        <w:trPr/>
        <w:tc>
          <w:tcPr>
            <w:tcW w:w="3119" w:type="dxa"/>
            <w:tcBorders/>
            <w:shd w:val="clear" w:color="auto" w:fill="auto"/>
            <w:vAlign w:val="center"/>
          </w:tcPr>
          <w:p>
            <w:pPr>
              <w:pStyle w:val="style0"/>
              <w:spacing w:lineRule="exact" w:line="400"/>
              <w:jc w:val="center"/>
              <w:rPr>
                <w:b/>
                <w:bCs/>
                <w:iCs/>
                <w:szCs w:val="21"/>
              </w:rPr>
            </w:pPr>
            <w:r>
              <w:rPr>
                <w:b/>
                <w:bCs/>
                <w:iCs/>
                <w:szCs w:val="21"/>
              </w:rPr>
              <w:t>投资者关系活动类别</w:t>
            </w:r>
          </w:p>
        </w:tc>
        <w:tc>
          <w:tcPr>
            <w:tcW w:w="7088" w:type="dxa"/>
            <w:tcBorders/>
            <w:shd w:val="clear" w:color="auto" w:fill="auto"/>
          </w:tcPr>
          <w:p>
            <w:pPr>
              <w:pStyle w:val="style0"/>
              <w:spacing w:lineRule="exact" w:line="400"/>
              <w:rPr>
                <w:bCs/>
                <w:iCs/>
                <w:szCs w:val="21"/>
              </w:rPr>
            </w:pPr>
            <w:r>
              <w:rPr>
                <w:bCs/>
                <w:iCs/>
                <w:szCs w:val="21"/>
              </w:rPr>
              <w:t>■</w:t>
            </w:r>
            <w:r>
              <w:rPr>
                <w:szCs w:val="21"/>
              </w:rPr>
              <w:t>特定对象调研</w:t>
            </w:r>
            <w:r>
              <w:rPr>
                <w:szCs w:val="21"/>
              </w:rPr>
              <w:t xml:space="preserve">        </w:t>
            </w:r>
            <w:r>
              <w:rPr>
                <w:bCs/>
                <w:iCs/>
                <w:szCs w:val="21"/>
              </w:rPr>
              <w:t>□</w:t>
            </w:r>
            <w:r>
              <w:rPr>
                <w:szCs w:val="21"/>
              </w:rPr>
              <w:t>分析师会议</w:t>
            </w:r>
            <w:r>
              <w:rPr>
                <w:szCs w:val="21"/>
              </w:rPr>
              <w:t xml:space="preserve">       </w:t>
            </w:r>
            <w:r>
              <w:rPr>
                <w:bCs/>
                <w:iCs/>
                <w:szCs w:val="21"/>
              </w:rPr>
              <w:t>□</w:t>
            </w:r>
            <w:r>
              <w:rPr>
                <w:szCs w:val="21"/>
              </w:rPr>
              <w:t>媒体采访</w:t>
            </w:r>
            <w:r>
              <w:rPr>
                <w:szCs w:val="21"/>
              </w:rPr>
              <w:t xml:space="preserve">  </w:t>
            </w:r>
          </w:p>
          <w:p>
            <w:pPr>
              <w:pStyle w:val="style0"/>
              <w:spacing w:lineRule="exact" w:line="400"/>
              <w:rPr>
                <w:bCs/>
                <w:iCs/>
                <w:szCs w:val="21"/>
              </w:rPr>
            </w:pPr>
            <w:r>
              <w:rPr>
                <w:bCs/>
                <w:iCs/>
                <w:szCs w:val="21"/>
              </w:rPr>
              <w:t>□</w:t>
            </w:r>
            <w:r>
              <w:rPr>
                <w:szCs w:val="21"/>
              </w:rPr>
              <w:t>业绩说明会</w:t>
            </w:r>
            <w:r>
              <w:rPr>
                <w:szCs w:val="21"/>
              </w:rPr>
              <w:t xml:space="preserve">          </w:t>
            </w:r>
            <w:r>
              <w:rPr>
                <w:bCs/>
                <w:iCs/>
                <w:szCs w:val="21"/>
              </w:rPr>
              <w:t>□</w:t>
            </w:r>
            <w:r>
              <w:rPr>
                <w:szCs w:val="21"/>
              </w:rPr>
              <w:t>新闻发布会</w:t>
            </w:r>
            <w:r>
              <w:rPr>
                <w:szCs w:val="21"/>
              </w:rPr>
              <w:t xml:space="preserve">       </w:t>
            </w:r>
            <w:r>
              <w:rPr>
                <w:bCs/>
                <w:iCs/>
                <w:szCs w:val="21"/>
              </w:rPr>
              <w:t>□</w:t>
            </w:r>
            <w:r>
              <w:rPr>
                <w:szCs w:val="21"/>
              </w:rPr>
              <w:t>路演活动</w:t>
            </w:r>
          </w:p>
          <w:p>
            <w:pPr>
              <w:pStyle w:val="style0"/>
              <w:spacing w:lineRule="exact" w:line="400"/>
              <w:rPr>
                <w:bCs/>
                <w:iCs/>
                <w:szCs w:val="21"/>
              </w:rPr>
            </w:pPr>
            <w:r>
              <w:rPr>
                <w:bCs/>
                <w:iCs/>
                <w:szCs w:val="21"/>
              </w:rPr>
              <w:t>□</w:t>
            </w:r>
            <w:r>
              <w:rPr>
                <w:szCs w:val="21"/>
              </w:rPr>
              <w:t>现场参观</w:t>
            </w:r>
            <w:r>
              <w:rPr>
                <w:bCs/>
                <w:iCs/>
                <w:szCs w:val="21"/>
              </w:rPr>
              <w:tab/>
            </w:r>
            <w:r>
              <w:rPr>
                <w:bCs/>
                <w:iCs/>
                <w:szCs w:val="21"/>
              </w:rPr>
              <w:t xml:space="preserve">           □</w:t>
            </w:r>
            <w:r>
              <w:rPr>
                <w:szCs w:val="21"/>
              </w:rPr>
              <w:t>其他</w:t>
            </w:r>
            <w:r>
              <w:rPr>
                <w:szCs w:val="21"/>
              </w:rPr>
              <w:t xml:space="preserve"> </w:t>
            </w:r>
            <w:r>
              <w:rPr>
                <w:szCs w:val="21"/>
              </w:rPr>
              <w:t>（</w:t>
            </w:r>
            <w:r>
              <w:rPr>
                <w:szCs w:val="21"/>
                <w:u w:val="single"/>
              </w:rPr>
              <w:t>请文字说明其他活动内容）</w:t>
            </w:r>
          </w:p>
        </w:tc>
      </w:tr>
      <w:tr>
        <w:tblPrEx/>
        <w:trPr/>
        <w:tc>
          <w:tcPr>
            <w:tcW w:w="3119" w:type="dxa"/>
            <w:tcBorders/>
            <w:shd w:val="clear" w:color="auto" w:fill="auto"/>
            <w:vAlign w:val="center"/>
          </w:tcPr>
          <w:p>
            <w:pPr>
              <w:pStyle w:val="style0"/>
              <w:spacing w:lineRule="exact" w:line="400"/>
              <w:jc w:val="center"/>
              <w:rPr>
                <w:b/>
                <w:bCs/>
                <w:iCs/>
                <w:szCs w:val="21"/>
              </w:rPr>
            </w:pPr>
            <w:r>
              <w:rPr>
                <w:b/>
                <w:bCs/>
                <w:iCs/>
                <w:szCs w:val="21"/>
              </w:rPr>
              <w:t>参与单位名称及人员姓名</w:t>
            </w:r>
          </w:p>
        </w:tc>
        <w:tc>
          <w:tcPr>
            <w:tcW w:w="7088" w:type="dxa"/>
            <w:tcBorders/>
            <w:shd w:val="clear" w:color="auto" w:fill="auto"/>
            <w:vAlign w:val="center"/>
          </w:tcPr>
          <w:p>
            <w:pPr>
              <w:pStyle w:val="style0"/>
              <w:spacing w:lineRule="exact" w:line="400"/>
              <w:jc w:val="left"/>
              <w:rPr>
                <w:bCs/>
                <w:iCs/>
                <w:szCs w:val="21"/>
              </w:rPr>
            </w:pPr>
            <w:r>
              <w:rPr>
                <w:rFonts w:hint="eastAsia"/>
                <w:bCs/>
                <w:iCs/>
                <w:szCs w:val="21"/>
              </w:rPr>
              <w:t>申浩</w:t>
            </w:r>
            <w:r>
              <w:rPr>
                <w:rFonts w:hint="eastAsia"/>
                <w:bCs/>
                <w:iCs/>
                <w:szCs w:val="21"/>
              </w:rPr>
              <w:t>（</w:t>
            </w:r>
            <w:r>
              <w:rPr>
                <w:rFonts w:hint="eastAsia"/>
                <w:bCs/>
                <w:iCs/>
                <w:szCs w:val="21"/>
              </w:rPr>
              <w:t>东北证券股份有限公司</w:t>
            </w:r>
            <w:r>
              <w:rPr>
                <w:rFonts w:hint="eastAsia"/>
                <w:bCs/>
                <w:iCs/>
                <w:szCs w:val="21"/>
              </w:rPr>
              <w:t>）</w:t>
            </w:r>
          </w:p>
        </w:tc>
      </w:tr>
      <w:tr>
        <w:tblPrEx/>
        <w:trPr/>
        <w:tc>
          <w:tcPr>
            <w:tcW w:w="3119" w:type="dxa"/>
            <w:tcBorders/>
            <w:shd w:val="clear" w:color="auto" w:fill="auto"/>
            <w:vAlign w:val="center"/>
          </w:tcPr>
          <w:p>
            <w:pPr>
              <w:pStyle w:val="style0"/>
              <w:spacing w:lineRule="exact" w:line="400"/>
              <w:jc w:val="center"/>
              <w:rPr>
                <w:b/>
                <w:bCs/>
                <w:iCs/>
                <w:szCs w:val="21"/>
              </w:rPr>
            </w:pPr>
            <w:r>
              <w:rPr>
                <w:b/>
                <w:bCs/>
                <w:iCs/>
                <w:szCs w:val="21"/>
              </w:rPr>
              <w:t>时间</w:t>
            </w:r>
          </w:p>
        </w:tc>
        <w:tc>
          <w:tcPr>
            <w:tcW w:w="7088" w:type="dxa"/>
            <w:tcBorders/>
            <w:shd w:val="clear" w:color="auto" w:fill="auto"/>
            <w:vAlign w:val="center"/>
          </w:tcPr>
          <w:p>
            <w:pPr>
              <w:pStyle w:val="style0"/>
              <w:spacing w:lineRule="exact" w:line="400"/>
              <w:jc w:val="left"/>
              <w:rPr>
                <w:bCs/>
                <w:iCs/>
                <w:szCs w:val="21"/>
              </w:rPr>
            </w:pPr>
            <w:r>
              <w:rPr>
                <w:bCs/>
                <w:iCs/>
                <w:szCs w:val="21"/>
              </w:rPr>
              <w:t>2017</w:t>
            </w:r>
            <w:r>
              <w:rPr>
                <w:bCs/>
                <w:iCs/>
                <w:szCs w:val="21"/>
              </w:rPr>
              <w:t>年</w:t>
            </w:r>
            <w:r>
              <w:rPr>
                <w:rFonts w:hint="eastAsia"/>
                <w:bCs/>
                <w:iCs/>
                <w:szCs w:val="21"/>
              </w:rPr>
              <w:t>9</w:t>
            </w:r>
            <w:r>
              <w:rPr>
                <w:bCs/>
                <w:iCs/>
                <w:szCs w:val="21"/>
              </w:rPr>
              <w:t>月</w:t>
            </w:r>
            <w:r>
              <w:rPr>
                <w:rFonts w:hint="eastAsia"/>
                <w:bCs/>
                <w:iCs/>
                <w:szCs w:val="21"/>
              </w:rPr>
              <w:t>13</w:t>
            </w:r>
            <w:r>
              <w:rPr>
                <w:bCs/>
                <w:iCs/>
                <w:szCs w:val="21"/>
              </w:rPr>
              <w:t>日</w:t>
            </w:r>
            <w:r>
              <w:rPr>
                <w:rFonts w:hint="eastAsia"/>
                <w:bCs/>
                <w:iCs/>
                <w:szCs w:val="21"/>
              </w:rPr>
              <w:t>11:00</w:t>
            </w:r>
            <w:bookmarkStart w:id="0" w:name="_GoBack"/>
            <w:bookmarkEnd w:id="0"/>
          </w:p>
        </w:tc>
      </w:tr>
      <w:tr>
        <w:tblPrEx/>
        <w:trPr/>
        <w:tc>
          <w:tcPr>
            <w:tcW w:w="3119" w:type="dxa"/>
            <w:tcBorders/>
            <w:shd w:val="clear" w:color="auto" w:fill="auto"/>
            <w:vAlign w:val="center"/>
          </w:tcPr>
          <w:p>
            <w:pPr>
              <w:pStyle w:val="style0"/>
              <w:spacing w:lineRule="exact" w:line="400"/>
              <w:jc w:val="center"/>
              <w:rPr>
                <w:b/>
                <w:bCs/>
                <w:iCs/>
                <w:szCs w:val="21"/>
              </w:rPr>
            </w:pPr>
            <w:r>
              <w:rPr>
                <w:b/>
                <w:bCs/>
                <w:iCs/>
                <w:szCs w:val="21"/>
              </w:rPr>
              <w:t>地点</w:t>
            </w:r>
          </w:p>
        </w:tc>
        <w:tc>
          <w:tcPr>
            <w:tcW w:w="7088" w:type="dxa"/>
            <w:tcBorders/>
            <w:shd w:val="clear" w:color="auto" w:fill="auto"/>
            <w:vAlign w:val="center"/>
          </w:tcPr>
          <w:p>
            <w:pPr>
              <w:pStyle w:val="style0"/>
              <w:spacing w:lineRule="exact" w:line="400"/>
              <w:jc w:val="left"/>
              <w:rPr>
                <w:bCs/>
                <w:iCs/>
                <w:szCs w:val="21"/>
              </w:rPr>
            </w:pPr>
            <w:r>
              <w:rPr>
                <w:bCs/>
                <w:iCs/>
                <w:szCs w:val="21"/>
              </w:rPr>
              <w:t>公司三楼会议室</w:t>
            </w:r>
          </w:p>
        </w:tc>
      </w:tr>
      <w:tr>
        <w:tblPrEx/>
        <w:trPr/>
        <w:tc>
          <w:tcPr>
            <w:tcW w:w="3119" w:type="dxa"/>
            <w:tcBorders/>
            <w:shd w:val="clear" w:color="auto" w:fill="auto"/>
            <w:vAlign w:val="center"/>
          </w:tcPr>
          <w:p>
            <w:pPr>
              <w:pStyle w:val="style0"/>
              <w:spacing w:lineRule="exact" w:line="400"/>
              <w:jc w:val="center"/>
              <w:rPr>
                <w:b/>
                <w:bCs/>
                <w:iCs/>
                <w:szCs w:val="21"/>
              </w:rPr>
            </w:pPr>
            <w:r>
              <w:rPr>
                <w:b/>
                <w:bCs/>
                <w:iCs/>
                <w:szCs w:val="21"/>
              </w:rPr>
              <w:t>上市公司接待人员姓名</w:t>
            </w:r>
          </w:p>
        </w:tc>
        <w:tc>
          <w:tcPr>
            <w:tcW w:w="7088" w:type="dxa"/>
            <w:tcBorders/>
            <w:shd w:val="clear" w:color="auto" w:fill="auto"/>
            <w:vAlign w:val="center"/>
          </w:tcPr>
          <w:p>
            <w:pPr>
              <w:pStyle w:val="style0"/>
              <w:spacing w:lineRule="exact" w:line="400"/>
              <w:jc w:val="left"/>
              <w:rPr>
                <w:bCs/>
                <w:iCs/>
                <w:szCs w:val="21"/>
              </w:rPr>
            </w:pPr>
            <w:r>
              <w:rPr>
                <w:bCs/>
                <w:iCs/>
                <w:szCs w:val="21"/>
              </w:rPr>
              <w:t>总经理卢兆东先生、财务</w:t>
            </w:r>
            <w:r>
              <w:rPr>
                <w:rFonts w:hint="eastAsia"/>
                <w:bCs/>
                <w:iCs/>
                <w:szCs w:val="21"/>
              </w:rPr>
              <w:t>经理李文卿先生、</w:t>
            </w:r>
            <w:r>
              <w:rPr>
                <w:bCs/>
                <w:iCs/>
                <w:szCs w:val="21"/>
              </w:rPr>
              <w:t>证券事务代表郭</w:t>
            </w:r>
            <w:r>
              <w:rPr>
                <w:rFonts w:hint="eastAsia"/>
                <w:bCs/>
                <w:iCs/>
                <w:szCs w:val="21"/>
              </w:rPr>
              <w:t>静</w:t>
            </w:r>
            <w:r>
              <w:rPr>
                <w:bCs/>
                <w:iCs/>
                <w:szCs w:val="21"/>
              </w:rPr>
              <w:t>女士</w:t>
            </w:r>
          </w:p>
        </w:tc>
      </w:tr>
      <w:tr>
        <w:tblPrEx/>
        <w:trPr>
          <w:trHeight w:val="557" w:hRule="atLeast"/>
        </w:trPr>
        <w:tc>
          <w:tcPr>
            <w:tcW w:w="3119" w:type="dxa"/>
            <w:tcBorders/>
            <w:shd w:val="clear" w:color="auto" w:fill="auto"/>
            <w:vAlign w:val="center"/>
          </w:tcPr>
          <w:p>
            <w:pPr>
              <w:pStyle w:val="style0"/>
              <w:spacing w:lineRule="exact" w:line="400"/>
              <w:jc w:val="center"/>
              <w:rPr>
                <w:b/>
                <w:bCs/>
                <w:iCs/>
                <w:szCs w:val="21"/>
              </w:rPr>
            </w:pPr>
            <w:r>
              <w:rPr>
                <w:b/>
                <w:bCs/>
                <w:iCs/>
                <w:szCs w:val="21"/>
              </w:rPr>
              <w:t>投资者关系活动主要内容介绍</w:t>
            </w:r>
          </w:p>
        </w:tc>
        <w:tc>
          <w:tcPr>
            <w:tcW w:w="7088" w:type="dxa"/>
            <w:tcBorders/>
            <w:shd w:val="clear" w:color="auto" w:fill="auto"/>
          </w:tcPr>
          <w:p>
            <w:pPr>
              <w:pStyle w:val="style179"/>
              <w:numPr>
                <w:ilvl w:val="0"/>
                <w:numId w:val="1"/>
              </w:numPr>
              <w:spacing w:lineRule="exact" w:line="380"/>
              <w:ind w:firstLineChars="0"/>
              <w:rPr>
                <w:b/>
                <w:bCs/>
                <w:iCs/>
                <w:szCs w:val="21"/>
              </w:rPr>
            </w:pPr>
            <w:r>
              <w:rPr>
                <w:rFonts w:hint="eastAsia"/>
                <w:b/>
                <w:bCs/>
                <w:iCs/>
                <w:szCs w:val="21"/>
              </w:rPr>
              <w:t>上年</w:t>
            </w:r>
            <w:r>
              <w:rPr>
                <w:rFonts w:hint="eastAsia"/>
                <w:b/>
                <w:bCs/>
                <w:iCs/>
                <w:szCs w:val="21"/>
              </w:rPr>
              <w:t>结转和</w:t>
            </w:r>
            <w:r>
              <w:rPr>
                <w:rFonts w:hint="eastAsia"/>
                <w:b/>
                <w:bCs/>
                <w:iCs/>
                <w:szCs w:val="21"/>
              </w:rPr>
              <w:t>2017</w:t>
            </w:r>
            <w:r>
              <w:rPr>
                <w:rFonts w:hint="eastAsia"/>
                <w:b/>
                <w:bCs/>
                <w:iCs/>
                <w:szCs w:val="21"/>
              </w:rPr>
              <w:t>年上半年新签订单</w:t>
            </w:r>
            <w:r>
              <w:rPr>
                <w:rFonts w:hint="eastAsia"/>
                <w:b/>
                <w:bCs/>
                <w:iCs/>
                <w:szCs w:val="21"/>
              </w:rPr>
              <w:t>很饱满，上半年</w:t>
            </w:r>
            <w:r>
              <w:rPr>
                <w:rFonts w:hint="eastAsia"/>
                <w:b/>
                <w:bCs/>
                <w:iCs/>
                <w:szCs w:val="21"/>
              </w:rPr>
              <w:t>确认收入</w:t>
            </w:r>
            <w:r>
              <w:rPr>
                <w:rFonts w:hint="eastAsia"/>
                <w:b/>
                <w:bCs/>
                <w:iCs/>
                <w:szCs w:val="21"/>
              </w:rPr>
              <w:t>较慢的原因。</w:t>
            </w:r>
          </w:p>
          <w:p>
            <w:pPr>
              <w:pStyle w:val="style0"/>
              <w:spacing w:lineRule="exact" w:line="380"/>
              <w:ind w:firstLine="420" w:firstLineChars="200"/>
              <w:rPr>
                <w:bCs/>
                <w:iCs/>
                <w:szCs w:val="21"/>
              </w:rPr>
            </w:pPr>
            <w:r>
              <w:rPr>
                <w:rFonts w:hint="eastAsia"/>
                <w:bCs/>
                <w:iCs/>
                <w:szCs w:val="21"/>
              </w:rPr>
              <w:t>答：目前公司主要业务包括传统业务和新型业务。传统业务主要以</w:t>
            </w:r>
            <w:r>
              <w:rPr>
                <w:rFonts w:hint="eastAsia"/>
                <w:bCs/>
                <w:iCs/>
                <w:szCs w:val="21"/>
              </w:rPr>
              <w:t>PCCP</w:t>
            </w:r>
            <w:r>
              <w:rPr>
                <w:rFonts w:hint="eastAsia"/>
                <w:bCs/>
                <w:iCs/>
                <w:szCs w:val="21"/>
                <w:lang w:eastAsia="zh-CN"/>
              </w:rPr>
              <w:t>、</w:t>
            </w:r>
            <w:r>
              <w:rPr>
                <w:rFonts w:hint="eastAsia"/>
                <w:bCs/>
                <w:iCs/>
                <w:szCs w:val="21"/>
                <w:lang w:eastAsia="zh-CN"/>
              </w:rPr>
              <w:t>盾构</w:t>
            </w:r>
            <w:r>
              <w:rPr>
                <w:rFonts w:hint="eastAsia"/>
                <w:bCs/>
                <w:iCs/>
                <w:szCs w:val="21"/>
                <w:lang w:eastAsia="zh-CN"/>
              </w:rPr>
              <w:t>管</w:t>
            </w:r>
            <w:r>
              <w:rPr>
                <w:rFonts w:hint="eastAsia"/>
                <w:bCs/>
                <w:iCs/>
                <w:szCs w:val="21"/>
                <w:lang w:eastAsia="zh-CN"/>
              </w:rPr>
              <w:t>片、地</w:t>
            </w:r>
            <w:r>
              <w:rPr>
                <w:rFonts w:hint="eastAsia"/>
                <w:bCs/>
                <w:iCs/>
                <w:szCs w:val="21"/>
                <w:lang w:eastAsia="zh-CN"/>
              </w:rPr>
              <w:t>下</w:t>
            </w:r>
            <w:r>
              <w:rPr>
                <w:rFonts w:hint="eastAsia"/>
                <w:bCs/>
                <w:iCs/>
                <w:szCs w:val="21"/>
                <w:lang w:eastAsia="zh-CN"/>
              </w:rPr>
              <w:t>综</w:t>
            </w:r>
            <w:r>
              <w:rPr>
                <w:rFonts w:hint="eastAsia"/>
                <w:bCs/>
                <w:iCs/>
                <w:szCs w:val="21"/>
                <w:lang w:eastAsia="zh-CN"/>
              </w:rPr>
              <w:t>合</w:t>
            </w:r>
            <w:r>
              <w:rPr>
                <w:rFonts w:hint="eastAsia"/>
                <w:bCs/>
                <w:iCs/>
                <w:szCs w:val="21"/>
                <w:lang w:eastAsia="zh-CN"/>
              </w:rPr>
              <w:t>管</w:t>
            </w:r>
            <w:r>
              <w:rPr>
                <w:rFonts w:hint="eastAsia"/>
                <w:bCs/>
                <w:iCs/>
                <w:szCs w:val="21"/>
                <w:lang w:eastAsia="zh-CN"/>
              </w:rPr>
              <w:t>廊</w:t>
            </w:r>
            <w:r>
              <w:rPr>
                <w:rFonts w:hint="eastAsia"/>
                <w:bCs/>
                <w:iCs/>
                <w:szCs w:val="21"/>
                <w:lang w:eastAsia="zh-CN"/>
              </w:rPr>
              <w:t>预</w:t>
            </w:r>
            <w:r>
              <w:rPr>
                <w:rFonts w:hint="eastAsia"/>
                <w:bCs/>
                <w:iCs/>
                <w:szCs w:val="21"/>
                <w:lang w:eastAsia="zh-CN"/>
              </w:rPr>
              <w:t>制构</w:t>
            </w:r>
            <w:r>
              <w:rPr>
                <w:rFonts w:hint="eastAsia"/>
                <w:bCs/>
                <w:iCs/>
                <w:szCs w:val="21"/>
                <w:lang w:eastAsia="zh-CN"/>
              </w:rPr>
              <w:t>件等</w:t>
            </w:r>
            <w:r>
              <w:rPr>
                <w:rFonts w:hint="eastAsia"/>
                <w:bCs/>
                <w:iCs/>
                <w:szCs w:val="21"/>
              </w:rPr>
              <w:t>为主。</w:t>
            </w:r>
            <w:r>
              <w:rPr>
                <w:rFonts w:hint="eastAsia"/>
                <w:bCs/>
                <w:iCs/>
                <w:szCs w:val="21"/>
              </w:rPr>
              <w:t>公司已完成全国布局，</w:t>
            </w:r>
            <w:r>
              <w:rPr>
                <w:rFonts w:hint="eastAsia"/>
                <w:bCs/>
                <w:iCs/>
                <w:szCs w:val="21"/>
              </w:rPr>
              <w:t>主要以订单式生产，</w:t>
            </w:r>
            <w:r>
              <w:rPr>
                <w:rFonts w:hint="eastAsia"/>
                <w:bCs/>
                <w:iCs/>
                <w:szCs w:val="21"/>
              </w:rPr>
              <w:t>但</w:t>
            </w:r>
            <w:r>
              <w:rPr>
                <w:rFonts w:hint="eastAsia"/>
                <w:bCs/>
                <w:iCs/>
                <w:szCs w:val="21"/>
                <w:lang w:eastAsia="zh-CN"/>
              </w:rPr>
              <w:t>项</w:t>
            </w:r>
            <w:r>
              <w:rPr>
                <w:rFonts w:hint="eastAsia"/>
                <w:bCs/>
                <w:iCs/>
                <w:szCs w:val="21"/>
                <w:lang w:eastAsia="zh-CN"/>
              </w:rPr>
              <w:t>目</w:t>
            </w:r>
            <w:r>
              <w:rPr>
                <w:rFonts w:hint="eastAsia"/>
                <w:bCs/>
                <w:iCs/>
                <w:szCs w:val="21"/>
                <w:lang w:eastAsia="zh-CN"/>
              </w:rPr>
              <w:t>存</w:t>
            </w:r>
            <w:r>
              <w:rPr>
                <w:rFonts w:hint="eastAsia"/>
                <w:bCs/>
                <w:iCs/>
                <w:szCs w:val="21"/>
                <w:lang w:eastAsia="zh-CN"/>
              </w:rPr>
              <w:t>在</w:t>
            </w:r>
            <w:r>
              <w:rPr>
                <w:rFonts w:hint="eastAsia"/>
                <w:bCs/>
                <w:iCs/>
                <w:szCs w:val="21"/>
                <w:lang w:eastAsia="zh-CN"/>
              </w:rPr>
              <w:t>时</w:t>
            </w:r>
            <w:r>
              <w:rPr>
                <w:rFonts w:hint="eastAsia"/>
                <w:bCs/>
                <w:iCs/>
                <w:szCs w:val="21"/>
                <w:lang w:eastAsia="zh-CN"/>
              </w:rPr>
              <w:t>空</w:t>
            </w:r>
            <w:r>
              <w:rPr>
                <w:rFonts w:hint="eastAsia"/>
                <w:bCs/>
                <w:iCs/>
                <w:szCs w:val="21"/>
              </w:rPr>
              <w:t>分布不均</w:t>
            </w:r>
            <w:r>
              <w:rPr>
                <w:rFonts w:hint="eastAsia"/>
                <w:bCs/>
                <w:iCs/>
                <w:szCs w:val="21"/>
                <w:lang w:eastAsia="zh-CN"/>
              </w:rPr>
              <w:t>现状</w:t>
            </w:r>
            <w:r>
              <w:rPr>
                <w:rFonts w:hint="eastAsia"/>
                <w:bCs/>
                <w:iCs/>
                <w:szCs w:val="21"/>
              </w:rPr>
              <w:t>，北方</w:t>
            </w:r>
            <w:r>
              <w:rPr>
                <w:rFonts w:hint="eastAsia"/>
                <w:bCs/>
                <w:iCs/>
                <w:szCs w:val="21"/>
                <w:lang w:eastAsia="zh-CN"/>
              </w:rPr>
              <w:t>公</w:t>
            </w:r>
            <w:r>
              <w:rPr>
                <w:rFonts w:hint="eastAsia"/>
                <w:bCs/>
                <w:iCs/>
                <w:szCs w:val="21"/>
                <w:lang w:eastAsia="zh-CN"/>
              </w:rPr>
              <w:t>司一</w:t>
            </w:r>
            <w:r>
              <w:rPr>
                <w:rFonts w:hint="eastAsia"/>
                <w:bCs/>
                <w:iCs/>
                <w:szCs w:val="21"/>
                <w:lang w:eastAsia="zh-CN"/>
              </w:rPr>
              <w:t>季</w:t>
            </w:r>
            <w:r>
              <w:rPr>
                <w:rFonts w:hint="eastAsia"/>
                <w:bCs/>
                <w:iCs/>
                <w:szCs w:val="21"/>
                <w:lang w:eastAsia="zh-CN"/>
              </w:rPr>
              <w:t>度</w:t>
            </w:r>
            <w:r>
              <w:rPr>
                <w:rFonts w:hint="eastAsia"/>
                <w:bCs/>
                <w:iCs/>
                <w:szCs w:val="21"/>
                <w:lang w:eastAsia="zh-CN"/>
              </w:rPr>
              <w:t>因</w:t>
            </w:r>
            <w:r>
              <w:rPr>
                <w:rFonts w:hint="eastAsia"/>
                <w:bCs/>
                <w:iCs/>
                <w:szCs w:val="21"/>
                <w:lang w:eastAsia="zh-CN"/>
              </w:rPr>
              <w:t>气</w:t>
            </w:r>
            <w:r>
              <w:rPr>
                <w:rFonts w:hint="eastAsia"/>
                <w:bCs/>
                <w:iCs/>
                <w:szCs w:val="21"/>
                <w:lang w:eastAsia="zh-CN"/>
              </w:rPr>
              <w:t>候</w:t>
            </w:r>
            <w:r>
              <w:rPr>
                <w:rFonts w:hint="eastAsia"/>
                <w:bCs/>
                <w:iCs/>
                <w:szCs w:val="21"/>
                <w:lang w:eastAsia="zh-CN"/>
              </w:rPr>
              <w:t>原</w:t>
            </w:r>
            <w:r>
              <w:rPr>
                <w:rFonts w:hint="eastAsia"/>
                <w:bCs/>
                <w:iCs/>
                <w:szCs w:val="21"/>
                <w:lang w:eastAsia="zh-CN"/>
              </w:rPr>
              <w:t>因</w:t>
            </w:r>
            <w:r>
              <w:rPr>
                <w:rFonts w:hint="eastAsia"/>
                <w:bCs/>
                <w:iCs/>
                <w:szCs w:val="21"/>
              </w:rPr>
              <w:t>无法生产，</w:t>
            </w:r>
            <w:r>
              <w:rPr>
                <w:rFonts w:hint="eastAsia"/>
                <w:bCs/>
                <w:iCs/>
                <w:szCs w:val="21"/>
                <w:lang w:eastAsia="zh-CN"/>
              </w:rPr>
              <w:t>生产</w:t>
            </w:r>
            <w:r>
              <w:rPr>
                <w:rFonts w:hint="eastAsia"/>
                <w:bCs/>
                <w:iCs/>
                <w:szCs w:val="21"/>
                <w:lang w:eastAsia="zh-CN"/>
              </w:rPr>
              <w:t>期一</w:t>
            </w:r>
            <w:r>
              <w:rPr>
                <w:rFonts w:hint="eastAsia"/>
                <w:bCs/>
                <w:iCs/>
                <w:szCs w:val="21"/>
                <w:lang w:eastAsia="zh-CN"/>
              </w:rPr>
              <w:t>般在4～10</w:t>
            </w:r>
            <w:r>
              <w:rPr>
                <w:rFonts w:hint="eastAsia"/>
                <w:bCs/>
                <w:iCs/>
                <w:szCs w:val="21"/>
              </w:rPr>
              <w:t xml:space="preserve"> </w:t>
            </w:r>
            <w:r>
              <w:rPr>
                <w:rFonts w:hint="eastAsia"/>
                <w:bCs/>
                <w:iCs/>
                <w:szCs w:val="21"/>
                <w:lang w:eastAsia="zh-CN"/>
              </w:rPr>
              <w:t>月</w:t>
            </w:r>
            <w:r>
              <w:rPr>
                <w:rFonts w:hint="eastAsia"/>
                <w:bCs/>
                <w:iCs/>
                <w:szCs w:val="21"/>
              </w:rPr>
              <w:t>，供货期一般在</w:t>
            </w:r>
            <w:r>
              <w:rPr>
                <w:rFonts w:hint="eastAsia"/>
                <w:bCs/>
                <w:iCs/>
                <w:szCs w:val="21"/>
              </w:rPr>
              <w:t>5</w:t>
            </w:r>
            <w:r>
              <w:rPr>
                <w:rFonts w:hint="eastAsia"/>
                <w:bCs/>
                <w:iCs/>
                <w:szCs w:val="21"/>
              </w:rPr>
              <w:t>、</w:t>
            </w:r>
            <w:r>
              <w:rPr>
                <w:rFonts w:hint="eastAsia"/>
                <w:bCs/>
                <w:iCs/>
                <w:szCs w:val="21"/>
              </w:rPr>
              <w:t>6</w:t>
            </w:r>
            <w:r>
              <w:rPr>
                <w:rFonts w:hint="eastAsia"/>
                <w:bCs/>
                <w:iCs/>
                <w:szCs w:val="21"/>
              </w:rPr>
              <w:t>月之后</w:t>
            </w:r>
            <w:r>
              <w:rPr>
                <w:rFonts w:hint="eastAsia"/>
                <w:bCs/>
                <w:iCs/>
                <w:szCs w:val="21"/>
                <w:lang w:eastAsia="zh-CN"/>
              </w:rPr>
              <w:t>，</w:t>
            </w:r>
            <w:r>
              <w:rPr>
                <w:rFonts w:hint="eastAsia"/>
                <w:bCs/>
                <w:iCs/>
                <w:szCs w:val="21"/>
                <w:lang w:eastAsia="zh-CN"/>
              </w:rPr>
              <w:t>今</w:t>
            </w:r>
            <w:r>
              <w:rPr>
                <w:rFonts w:hint="eastAsia"/>
                <w:bCs/>
                <w:iCs/>
                <w:szCs w:val="21"/>
                <w:lang w:eastAsia="zh-CN"/>
              </w:rPr>
              <w:t>年公</w:t>
            </w:r>
            <w:r>
              <w:rPr>
                <w:rFonts w:hint="eastAsia"/>
                <w:bCs/>
                <w:iCs/>
                <w:szCs w:val="21"/>
                <w:lang w:eastAsia="zh-CN"/>
              </w:rPr>
              <w:t>司</w:t>
            </w:r>
            <w:r>
              <w:rPr>
                <w:rFonts w:hint="eastAsia"/>
                <w:bCs/>
                <w:iCs/>
                <w:szCs w:val="21"/>
                <w:lang w:eastAsia="zh-CN"/>
              </w:rPr>
              <w:t>大</w:t>
            </w:r>
            <w:r>
              <w:rPr>
                <w:rFonts w:hint="eastAsia"/>
                <w:bCs/>
                <w:iCs/>
                <w:szCs w:val="21"/>
                <w:lang w:eastAsia="zh-CN"/>
              </w:rPr>
              <w:t>量项</w:t>
            </w:r>
            <w:r>
              <w:rPr>
                <w:rFonts w:hint="eastAsia"/>
                <w:bCs/>
                <w:iCs/>
                <w:szCs w:val="21"/>
                <w:lang w:eastAsia="zh-CN"/>
              </w:rPr>
              <w:t>目</w:t>
            </w:r>
            <w:r>
              <w:rPr>
                <w:rFonts w:hint="eastAsia"/>
                <w:bCs/>
                <w:iCs/>
                <w:szCs w:val="21"/>
                <w:lang w:eastAsia="zh-CN"/>
              </w:rPr>
              <w:t>在</w:t>
            </w:r>
            <w:r>
              <w:rPr>
                <w:rFonts w:hint="eastAsia"/>
                <w:bCs/>
                <w:iCs/>
                <w:szCs w:val="21"/>
                <w:lang w:eastAsia="zh-CN"/>
              </w:rPr>
              <w:t>北</w:t>
            </w:r>
            <w:r>
              <w:rPr>
                <w:rFonts w:hint="eastAsia"/>
                <w:bCs/>
                <w:iCs/>
                <w:szCs w:val="21"/>
                <w:lang w:eastAsia="zh-CN"/>
              </w:rPr>
              <w:t>方</w:t>
            </w:r>
            <w:r>
              <w:rPr>
                <w:rFonts w:hint="eastAsia"/>
                <w:bCs/>
                <w:iCs/>
                <w:szCs w:val="21"/>
                <w:lang w:eastAsia="zh-CN"/>
              </w:rPr>
              <w:t>区</w:t>
            </w:r>
            <w:r>
              <w:rPr>
                <w:rFonts w:hint="eastAsia"/>
                <w:bCs/>
                <w:iCs/>
                <w:szCs w:val="21"/>
                <w:lang w:eastAsia="zh-CN"/>
              </w:rPr>
              <w:t>域，</w:t>
            </w:r>
            <w:r>
              <w:rPr>
                <w:rFonts w:hint="eastAsia"/>
                <w:bCs/>
                <w:iCs/>
                <w:szCs w:val="21"/>
                <w:lang w:eastAsia="zh-CN"/>
              </w:rPr>
              <w:t>上</w:t>
            </w:r>
            <w:r>
              <w:rPr>
                <w:rFonts w:hint="eastAsia"/>
                <w:bCs/>
                <w:iCs/>
                <w:szCs w:val="21"/>
                <w:lang w:eastAsia="zh-CN"/>
              </w:rPr>
              <w:t>半</w:t>
            </w:r>
            <w:r>
              <w:rPr>
                <w:rFonts w:hint="eastAsia"/>
                <w:bCs/>
                <w:iCs/>
                <w:szCs w:val="21"/>
                <w:lang w:eastAsia="zh-CN"/>
              </w:rPr>
              <w:t>年</w:t>
            </w:r>
            <w:r>
              <w:rPr>
                <w:rFonts w:hint="eastAsia"/>
                <w:bCs/>
                <w:iCs/>
                <w:szCs w:val="21"/>
                <w:lang w:eastAsia="zh-CN"/>
              </w:rPr>
              <w:t>确</w:t>
            </w:r>
            <w:r>
              <w:rPr>
                <w:rFonts w:hint="eastAsia"/>
                <w:bCs/>
                <w:iCs/>
                <w:szCs w:val="21"/>
                <w:lang w:eastAsia="zh-CN"/>
              </w:rPr>
              <w:t>认</w:t>
            </w:r>
            <w:r>
              <w:rPr>
                <w:rFonts w:hint="eastAsia"/>
                <w:bCs/>
                <w:iCs/>
                <w:szCs w:val="21"/>
                <w:lang w:eastAsia="zh-CN"/>
              </w:rPr>
              <w:t>收</w:t>
            </w:r>
            <w:r>
              <w:rPr>
                <w:rFonts w:hint="eastAsia"/>
                <w:bCs/>
                <w:iCs/>
                <w:szCs w:val="21"/>
                <w:lang w:eastAsia="zh-CN"/>
              </w:rPr>
              <w:t>入</w:t>
            </w:r>
            <w:r>
              <w:rPr>
                <w:rFonts w:hint="eastAsia"/>
                <w:bCs/>
                <w:iCs/>
                <w:szCs w:val="21"/>
                <w:lang w:eastAsia="zh-CN"/>
              </w:rPr>
              <w:t>相</w:t>
            </w:r>
            <w:r>
              <w:rPr>
                <w:rFonts w:hint="eastAsia"/>
                <w:bCs/>
                <w:iCs/>
                <w:szCs w:val="21"/>
                <w:lang w:eastAsia="zh-CN"/>
              </w:rPr>
              <w:t>对少</w:t>
            </w:r>
            <w:r>
              <w:rPr>
                <w:rFonts w:hint="eastAsia"/>
                <w:bCs/>
                <w:iCs/>
                <w:szCs w:val="21"/>
                <w:lang w:eastAsia="zh-CN"/>
              </w:rPr>
              <w:t>但</w:t>
            </w:r>
            <w:r>
              <w:rPr>
                <w:rFonts w:hint="eastAsia"/>
                <w:bCs/>
                <w:iCs/>
                <w:szCs w:val="21"/>
                <w:lang w:eastAsia="zh-CN"/>
              </w:rPr>
              <w:t>符合公</w:t>
            </w:r>
            <w:r>
              <w:rPr>
                <w:rFonts w:hint="eastAsia"/>
                <w:bCs/>
                <w:iCs/>
                <w:szCs w:val="21"/>
                <w:lang w:eastAsia="zh-CN"/>
              </w:rPr>
              <w:t>司</w:t>
            </w:r>
            <w:r>
              <w:rPr>
                <w:rFonts w:hint="eastAsia"/>
                <w:bCs/>
                <w:iCs/>
                <w:szCs w:val="21"/>
                <w:lang w:eastAsia="zh-CN"/>
              </w:rPr>
              <w:t>业</w:t>
            </w:r>
            <w:r>
              <w:rPr>
                <w:rFonts w:hint="eastAsia"/>
                <w:bCs/>
                <w:iCs/>
                <w:szCs w:val="21"/>
                <w:lang w:eastAsia="zh-CN"/>
              </w:rPr>
              <w:t>务</w:t>
            </w:r>
            <w:r>
              <w:rPr>
                <w:rFonts w:hint="eastAsia"/>
                <w:bCs/>
                <w:iCs/>
                <w:szCs w:val="21"/>
                <w:lang w:eastAsia="zh-CN"/>
              </w:rPr>
              <w:t>特</w:t>
            </w:r>
            <w:r>
              <w:rPr>
                <w:rFonts w:hint="eastAsia"/>
                <w:bCs/>
                <w:iCs/>
                <w:szCs w:val="21"/>
                <w:lang w:eastAsia="zh-CN"/>
              </w:rPr>
              <w:t>点</w:t>
            </w:r>
            <w:r>
              <w:rPr>
                <w:rFonts w:hint="eastAsia"/>
                <w:bCs/>
                <w:iCs/>
                <w:szCs w:val="21"/>
              </w:rPr>
              <w:t>。</w:t>
            </w:r>
          </w:p>
          <w:p>
            <w:pPr>
              <w:pStyle w:val="style0"/>
              <w:spacing w:lineRule="exact" w:line="380"/>
              <w:ind w:firstLine="420" w:firstLineChars="200"/>
              <w:rPr>
                <w:bCs/>
                <w:iCs/>
                <w:szCs w:val="21"/>
              </w:rPr>
            </w:pPr>
            <w:r>
              <w:rPr>
                <w:rFonts w:hint="eastAsia"/>
                <w:bCs/>
                <w:iCs/>
                <w:szCs w:val="21"/>
              </w:rPr>
              <w:t>每个合同的约定不同、供货期不同，故确认收入的时间节点有所不同。</w:t>
            </w:r>
          </w:p>
          <w:p>
            <w:pPr>
              <w:pStyle w:val="style179"/>
              <w:numPr>
                <w:ilvl w:val="0"/>
                <w:numId w:val="1"/>
              </w:numPr>
              <w:spacing w:lineRule="exact" w:line="380"/>
              <w:ind w:firstLineChars="0"/>
              <w:rPr>
                <w:b/>
                <w:bCs/>
                <w:iCs/>
                <w:szCs w:val="21"/>
              </w:rPr>
            </w:pPr>
            <w:r>
              <w:rPr>
                <w:rFonts w:hint="eastAsia"/>
                <w:b/>
                <w:bCs/>
                <w:iCs/>
                <w:szCs w:val="21"/>
              </w:rPr>
              <w:t>如果收入上涨，</w:t>
            </w:r>
            <w:r>
              <w:rPr>
                <w:rFonts w:hint="eastAsia"/>
                <w:b/>
                <w:bCs/>
                <w:iCs/>
                <w:szCs w:val="21"/>
              </w:rPr>
              <w:t>毛利率</w:t>
            </w:r>
            <w:r>
              <w:rPr>
                <w:rFonts w:hint="eastAsia"/>
                <w:b/>
                <w:bCs/>
                <w:iCs/>
                <w:szCs w:val="21"/>
              </w:rPr>
              <w:t>会不会有所上涨</w:t>
            </w:r>
          </w:p>
          <w:p>
            <w:pPr>
              <w:pStyle w:val="style0"/>
              <w:spacing w:lineRule="exact" w:line="380"/>
              <w:ind w:firstLine="420" w:firstLineChars="200"/>
              <w:rPr>
                <w:bCs/>
                <w:iCs/>
                <w:szCs w:val="21"/>
              </w:rPr>
            </w:pPr>
            <w:r>
              <w:rPr>
                <w:rFonts w:hint="eastAsia"/>
                <w:bCs/>
                <w:iCs/>
                <w:szCs w:val="21"/>
              </w:rPr>
              <w:t>答：</w:t>
            </w:r>
            <w:r>
              <w:rPr>
                <w:rFonts w:hint="eastAsia"/>
                <w:bCs/>
                <w:iCs/>
                <w:szCs w:val="21"/>
              </w:rPr>
              <w:t>一般</w:t>
            </w:r>
            <w:r>
              <w:rPr>
                <w:rFonts w:hint="eastAsia"/>
                <w:bCs/>
                <w:iCs/>
                <w:szCs w:val="21"/>
                <w:lang w:eastAsia="zh-CN"/>
              </w:rPr>
              <w:t>来</w:t>
            </w:r>
            <w:r>
              <w:rPr>
                <w:rFonts w:hint="eastAsia"/>
                <w:bCs/>
                <w:iCs/>
                <w:szCs w:val="21"/>
                <w:lang w:eastAsia="zh-CN"/>
              </w:rPr>
              <w:t>说</w:t>
            </w:r>
            <w:r>
              <w:rPr>
                <w:rFonts w:hint="eastAsia"/>
                <w:bCs/>
                <w:iCs/>
                <w:szCs w:val="21"/>
              </w:rPr>
              <w:t>收入上涨，毛利率也</w:t>
            </w:r>
            <w:r>
              <w:rPr>
                <w:rFonts w:hint="eastAsia"/>
                <w:bCs/>
                <w:iCs/>
                <w:szCs w:val="21"/>
                <w:lang w:eastAsia="zh-CN"/>
              </w:rPr>
              <w:t>会</w:t>
            </w:r>
            <w:r>
              <w:rPr>
                <w:rFonts w:hint="eastAsia"/>
                <w:bCs/>
                <w:iCs/>
                <w:szCs w:val="21"/>
              </w:rPr>
              <w:t>有所上涨。</w:t>
            </w:r>
            <w:r>
              <w:rPr>
                <w:rFonts w:hint="eastAsia"/>
                <w:bCs/>
                <w:iCs/>
                <w:szCs w:val="21"/>
              </w:rPr>
              <w:t>公司</w:t>
            </w:r>
            <w:r>
              <w:rPr>
                <w:rFonts w:hint="eastAsia"/>
                <w:bCs/>
                <w:iCs/>
                <w:szCs w:val="21"/>
              </w:rPr>
              <w:t>订单</w:t>
            </w:r>
            <w:r>
              <w:rPr>
                <w:rFonts w:hint="eastAsia"/>
                <w:bCs/>
                <w:iCs/>
                <w:szCs w:val="21"/>
              </w:rPr>
              <w:t>主要通过招投标</w:t>
            </w:r>
            <w:r>
              <w:rPr>
                <w:rFonts w:hint="eastAsia"/>
                <w:bCs/>
                <w:iCs/>
                <w:szCs w:val="21"/>
              </w:rPr>
              <w:t>取得</w:t>
            </w:r>
            <w:r>
              <w:rPr>
                <w:rFonts w:hint="eastAsia"/>
                <w:bCs/>
                <w:iCs/>
                <w:szCs w:val="21"/>
                <w:lang w:eastAsia="zh-CN"/>
              </w:rPr>
              <w:t>，</w:t>
            </w:r>
            <w:r>
              <w:rPr>
                <w:rFonts w:hint="eastAsia"/>
                <w:bCs/>
                <w:iCs/>
                <w:szCs w:val="21"/>
              </w:rPr>
              <w:t>所</w:t>
            </w:r>
            <w:r>
              <w:rPr>
                <w:rFonts w:hint="eastAsia"/>
                <w:bCs/>
                <w:iCs/>
                <w:szCs w:val="21"/>
              </w:rPr>
              <w:t>承接的订单不同、管径大小</w:t>
            </w:r>
            <w:r>
              <w:rPr>
                <w:rFonts w:hint="eastAsia"/>
                <w:bCs/>
                <w:iCs/>
                <w:szCs w:val="21"/>
              </w:rPr>
              <w:t>不同、</w:t>
            </w:r>
            <w:r>
              <w:rPr>
                <w:rFonts w:hint="eastAsia"/>
                <w:bCs/>
                <w:iCs/>
                <w:szCs w:val="21"/>
                <w:lang w:eastAsia="zh-CN"/>
              </w:rPr>
              <w:t>项目</w:t>
            </w:r>
            <w:r>
              <w:rPr>
                <w:rFonts w:hint="eastAsia"/>
                <w:bCs/>
                <w:iCs/>
                <w:szCs w:val="21"/>
              </w:rPr>
              <w:t>区域不同等，都可能影响毛利率的高低。</w:t>
            </w:r>
          </w:p>
          <w:p>
            <w:pPr>
              <w:pStyle w:val="style179"/>
              <w:numPr>
                <w:ilvl w:val="0"/>
                <w:numId w:val="1"/>
              </w:numPr>
              <w:spacing w:lineRule="exact" w:line="380"/>
              <w:ind w:firstLineChars="0"/>
              <w:rPr>
                <w:b/>
                <w:bCs/>
                <w:iCs/>
                <w:szCs w:val="21"/>
              </w:rPr>
            </w:pPr>
            <w:r>
              <w:rPr>
                <w:rFonts w:hint="eastAsia"/>
                <w:b/>
                <w:bCs/>
                <w:iCs/>
                <w:szCs w:val="21"/>
              </w:rPr>
              <w:t>订单大幅增加的原因</w:t>
            </w:r>
          </w:p>
          <w:p>
            <w:pPr>
              <w:pStyle w:val="style0"/>
              <w:spacing w:lineRule="exact" w:line="380"/>
              <w:ind w:firstLine="420" w:firstLineChars="200"/>
              <w:rPr>
                <w:bCs/>
                <w:iCs/>
                <w:szCs w:val="21"/>
              </w:rPr>
            </w:pPr>
            <w:r>
              <w:rPr>
                <w:rFonts w:hint="eastAsia"/>
                <w:bCs/>
                <w:iCs/>
                <w:szCs w:val="21"/>
              </w:rPr>
              <w:t>答：</w:t>
            </w:r>
            <w:r>
              <w:rPr>
                <w:rFonts w:hint="eastAsia"/>
                <w:bCs/>
                <w:iCs/>
                <w:szCs w:val="21"/>
              </w:rPr>
              <w:t>2016</w:t>
            </w:r>
            <w:r>
              <w:rPr>
                <w:rFonts w:hint="eastAsia"/>
                <w:bCs/>
                <w:iCs/>
                <w:szCs w:val="21"/>
              </w:rPr>
              <w:t>年下半年</w:t>
            </w:r>
            <w:r>
              <w:rPr>
                <w:rFonts w:hint="eastAsia"/>
                <w:bCs/>
                <w:iCs/>
                <w:szCs w:val="21"/>
              </w:rPr>
              <w:t>行业</w:t>
            </w:r>
            <w:r>
              <w:rPr>
                <w:rFonts w:hint="eastAsia"/>
                <w:bCs/>
                <w:iCs/>
                <w:szCs w:val="21"/>
                <w:lang w:eastAsia="zh-CN"/>
              </w:rPr>
              <w:t>开始</w:t>
            </w:r>
            <w:r>
              <w:rPr>
                <w:rFonts w:hint="eastAsia"/>
                <w:bCs/>
                <w:iCs/>
                <w:szCs w:val="21"/>
                <w:lang w:eastAsia="zh-CN"/>
              </w:rPr>
              <w:t>逐</w:t>
            </w:r>
            <w:r>
              <w:rPr>
                <w:rFonts w:hint="eastAsia"/>
                <w:bCs/>
                <w:iCs/>
                <w:szCs w:val="21"/>
                <w:lang w:eastAsia="zh-CN"/>
              </w:rPr>
              <w:t>步</w:t>
            </w:r>
            <w:r>
              <w:rPr>
                <w:rFonts w:hint="eastAsia"/>
                <w:bCs/>
                <w:iCs/>
                <w:szCs w:val="21"/>
              </w:rPr>
              <w:t>回暖，国家“十三五”规划的相关水利项目陆续</w:t>
            </w:r>
            <w:r>
              <w:rPr>
                <w:rFonts w:hint="eastAsia"/>
                <w:bCs/>
                <w:iCs/>
                <w:szCs w:val="21"/>
                <w:lang w:eastAsia="zh-CN"/>
              </w:rPr>
              <w:t>开工</w:t>
            </w:r>
            <w:r>
              <w:rPr>
                <w:rFonts w:hint="eastAsia"/>
                <w:bCs/>
                <w:iCs/>
                <w:szCs w:val="21"/>
              </w:rPr>
              <w:t>，国内大型水利项目开</w:t>
            </w:r>
            <w:r>
              <w:rPr>
                <w:rFonts w:hint="eastAsia"/>
                <w:bCs/>
                <w:iCs/>
                <w:szCs w:val="21"/>
                <w:lang w:eastAsia="zh-CN"/>
              </w:rPr>
              <w:t>工</w:t>
            </w:r>
            <w:r>
              <w:rPr>
                <w:rFonts w:hint="eastAsia"/>
                <w:bCs/>
                <w:iCs/>
                <w:szCs w:val="21"/>
              </w:rPr>
              <w:t>较多</w:t>
            </w:r>
            <w:r>
              <w:rPr>
                <w:rFonts w:hint="eastAsia"/>
                <w:bCs/>
                <w:iCs/>
                <w:szCs w:val="21"/>
              </w:rPr>
              <w:t>，部分项目采用</w:t>
            </w:r>
            <w:r>
              <w:rPr>
                <w:rFonts w:hint="eastAsia"/>
                <w:bCs/>
                <w:iCs/>
                <w:szCs w:val="21"/>
              </w:rPr>
              <w:t>PPP</w:t>
            </w:r>
            <w:r>
              <w:rPr>
                <w:rFonts w:hint="eastAsia"/>
                <w:bCs/>
                <w:iCs/>
                <w:szCs w:val="21"/>
              </w:rPr>
              <w:t>模式进行。公司时刻关注市场信息，做好相关工程前期跟踪、招投标，积极取得订单，争取创造好的效益。</w:t>
            </w:r>
          </w:p>
          <w:p>
            <w:pPr>
              <w:pStyle w:val="style179"/>
              <w:numPr>
                <w:ilvl w:val="0"/>
                <w:numId w:val="1"/>
              </w:numPr>
              <w:spacing w:lineRule="exact" w:line="380"/>
              <w:ind w:firstLineChars="0"/>
              <w:rPr>
                <w:b/>
                <w:bCs/>
                <w:iCs/>
                <w:szCs w:val="21"/>
              </w:rPr>
            </w:pPr>
            <w:r>
              <w:rPr>
                <w:rFonts w:hint="eastAsia"/>
                <w:b/>
                <w:bCs/>
                <w:iCs/>
                <w:szCs w:val="21"/>
              </w:rPr>
              <w:t>标准管价格下降的原因及原材料价格变动对公司的影响</w:t>
            </w:r>
          </w:p>
          <w:p>
            <w:pPr>
              <w:pStyle w:val="style0"/>
              <w:spacing w:lineRule="exact" w:line="380"/>
              <w:ind w:firstLine="420" w:firstLineChars="200"/>
              <w:rPr>
                <w:bCs/>
                <w:iCs/>
                <w:szCs w:val="21"/>
              </w:rPr>
            </w:pPr>
            <w:r>
              <w:rPr>
                <w:rFonts w:hint="eastAsia"/>
                <w:bCs/>
                <w:iCs/>
                <w:szCs w:val="21"/>
              </w:rPr>
              <w:t>答：</w:t>
            </w:r>
            <w:r>
              <w:rPr>
                <w:rFonts w:hint="eastAsia"/>
                <w:bCs/>
                <w:iCs/>
                <w:szCs w:val="21"/>
              </w:rPr>
              <w:t>以往标准管的毛利率相对较高，随着市场竞争激烈，毛利率趋于相对稳定的水平。公司年初根据项目情况制定</w:t>
            </w:r>
            <w:r>
              <w:rPr>
                <w:rFonts w:hint="eastAsia"/>
                <w:bCs/>
                <w:iCs/>
                <w:szCs w:val="21"/>
                <w:lang w:eastAsia="zh-CN"/>
              </w:rPr>
              <w:t>生</w:t>
            </w:r>
            <w:r>
              <w:rPr>
                <w:rFonts w:hint="eastAsia"/>
                <w:bCs/>
                <w:iCs/>
                <w:szCs w:val="21"/>
                <w:lang w:eastAsia="zh-CN"/>
              </w:rPr>
              <w:t>产</w:t>
            </w:r>
            <w:r>
              <w:rPr>
                <w:rFonts w:hint="eastAsia"/>
                <w:bCs/>
                <w:iCs/>
                <w:szCs w:val="21"/>
              </w:rPr>
              <w:t>计划，对</w:t>
            </w:r>
            <w:r>
              <w:rPr>
                <w:rFonts w:hint="eastAsia"/>
                <w:bCs/>
                <w:iCs/>
                <w:szCs w:val="21"/>
                <w:lang w:eastAsia="zh-CN"/>
              </w:rPr>
              <w:t>主</w:t>
            </w:r>
            <w:r>
              <w:rPr>
                <w:rFonts w:hint="eastAsia"/>
                <w:bCs/>
                <w:iCs/>
                <w:szCs w:val="21"/>
                <w:lang w:eastAsia="zh-CN"/>
              </w:rPr>
              <w:t>要</w:t>
            </w:r>
            <w:r>
              <w:rPr>
                <w:rFonts w:hint="eastAsia"/>
                <w:bCs/>
                <w:iCs/>
                <w:szCs w:val="21"/>
              </w:rPr>
              <w:t>原材料</w:t>
            </w:r>
            <w:r>
              <w:rPr>
                <w:rFonts w:hint="eastAsia"/>
                <w:bCs/>
                <w:iCs/>
                <w:szCs w:val="21"/>
              </w:rPr>
              <w:t>会提前锁定集中</w:t>
            </w:r>
            <w:r>
              <w:rPr>
                <w:rFonts w:hint="eastAsia"/>
                <w:bCs/>
                <w:iCs/>
                <w:szCs w:val="21"/>
              </w:rPr>
              <w:t>采购，同时</w:t>
            </w:r>
            <w:r>
              <w:rPr>
                <w:rFonts w:hint="eastAsia"/>
                <w:bCs/>
                <w:iCs/>
                <w:szCs w:val="21"/>
                <w:lang w:eastAsia="zh-CN"/>
              </w:rPr>
              <w:t>管</w:t>
            </w:r>
            <w:r>
              <w:rPr>
                <w:rFonts w:hint="eastAsia"/>
                <w:bCs/>
                <w:iCs/>
                <w:szCs w:val="21"/>
                <w:lang w:eastAsia="zh-CN"/>
              </w:rPr>
              <w:t>材</w:t>
            </w:r>
            <w:r>
              <w:rPr>
                <w:rFonts w:hint="eastAsia"/>
                <w:bCs/>
                <w:iCs/>
                <w:szCs w:val="21"/>
                <w:lang w:eastAsia="zh-CN"/>
              </w:rPr>
              <w:t>采</w:t>
            </w:r>
            <w:r>
              <w:rPr>
                <w:rFonts w:hint="eastAsia"/>
                <w:bCs/>
                <w:iCs/>
                <w:szCs w:val="21"/>
                <w:lang w:eastAsia="zh-CN"/>
              </w:rPr>
              <w:t>购</w:t>
            </w:r>
            <w:r>
              <w:rPr>
                <w:rFonts w:hint="eastAsia"/>
                <w:bCs/>
                <w:iCs/>
                <w:szCs w:val="21"/>
              </w:rPr>
              <w:t>合同中也会约定调价机制，</w:t>
            </w:r>
            <w:r>
              <w:rPr>
                <w:rFonts w:hint="eastAsia"/>
                <w:bCs/>
                <w:iCs/>
                <w:szCs w:val="21"/>
              </w:rPr>
              <w:t>一般当年的原材料价格变动对公司影响不大。</w:t>
            </w:r>
          </w:p>
          <w:p>
            <w:pPr>
              <w:pStyle w:val="style179"/>
              <w:numPr>
                <w:ilvl w:val="0"/>
                <w:numId w:val="1"/>
              </w:numPr>
              <w:spacing w:lineRule="exact" w:line="380"/>
              <w:ind w:firstLineChars="0"/>
              <w:rPr>
                <w:b/>
                <w:bCs/>
                <w:iCs/>
                <w:szCs w:val="21"/>
              </w:rPr>
            </w:pPr>
            <w:r>
              <w:rPr>
                <w:rFonts w:hint="eastAsia"/>
                <w:b/>
                <w:bCs/>
                <w:iCs/>
                <w:szCs w:val="21"/>
              </w:rPr>
              <w:t>雄安新区的建设，公司是否参与？</w:t>
            </w:r>
          </w:p>
          <w:p>
            <w:pPr>
              <w:pStyle w:val="style0"/>
              <w:spacing w:lineRule="exact" w:line="380"/>
              <w:ind w:firstLine="420" w:firstLineChars="200"/>
              <w:rPr>
                <w:bCs/>
                <w:iCs/>
                <w:szCs w:val="21"/>
              </w:rPr>
            </w:pPr>
            <w:r>
              <w:rPr>
                <w:bCs/>
                <w:iCs/>
                <w:szCs w:val="21"/>
              </w:rPr>
              <w:t>答</w:t>
            </w:r>
            <w:r>
              <w:rPr>
                <w:rFonts w:hint="eastAsia"/>
                <w:bCs/>
                <w:iCs/>
                <w:szCs w:val="21"/>
              </w:rPr>
              <w:t>：作为央企的一员，公司相应国家号召，</w:t>
            </w:r>
            <w:r>
              <w:rPr>
                <w:rFonts w:hint="eastAsia"/>
                <w:bCs/>
                <w:iCs/>
                <w:szCs w:val="21"/>
                <w:lang w:eastAsia="zh-CN"/>
              </w:rPr>
              <w:t>会</w:t>
            </w:r>
            <w:r>
              <w:rPr>
                <w:rFonts w:hint="eastAsia"/>
                <w:bCs/>
                <w:iCs/>
                <w:szCs w:val="21"/>
              </w:rPr>
              <w:t>积极</w:t>
            </w:r>
            <w:r>
              <w:rPr>
                <w:rFonts w:hint="eastAsia"/>
                <w:bCs/>
                <w:iCs/>
                <w:szCs w:val="21"/>
                <w:lang w:eastAsia="zh-CN"/>
              </w:rPr>
              <w:t>参与</w:t>
            </w:r>
            <w:r>
              <w:rPr>
                <w:rFonts w:hint="eastAsia"/>
                <w:bCs/>
                <w:iCs/>
                <w:szCs w:val="21"/>
              </w:rPr>
              <w:t>国家战略</w:t>
            </w:r>
            <w:r>
              <w:rPr>
                <w:rFonts w:hint="eastAsia"/>
                <w:bCs/>
                <w:iCs/>
                <w:szCs w:val="21"/>
                <w:lang w:eastAsia="zh-CN"/>
              </w:rPr>
              <w:t>项</w:t>
            </w:r>
            <w:r>
              <w:rPr>
                <w:rFonts w:hint="eastAsia"/>
                <w:bCs/>
                <w:iCs/>
                <w:szCs w:val="21"/>
                <w:lang w:eastAsia="zh-CN"/>
              </w:rPr>
              <w:t>目</w:t>
            </w:r>
            <w:r>
              <w:rPr>
                <w:rFonts w:hint="eastAsia"/>
                <w:bCs/>
                <w:iCs/>
                <w:szCs w:val="21"/>
              </w:rPr>
              <w:t>建设</w:t>
            </w:r>
            <w:r>
              <w:rPr>
                <w:rFonts w:hint="eastAsia"/>
                <w:bCs/>
                <w:iCs/>
                <w:szCs w:val="21"/>
              </w:rPr>
              <w:t>。目前</w:t>
            </w:r>
            <w:r>
              <w:rPr>
                <w:rFonts w:hint="eastAsia"/>
                <w:bCs/>
                <w:iCs/>
                <w:szCs w:val="21"/>
              </w:rPr>
              <w:t>，</w:t>
            </w:r>
            <w:r>
              <w:rPr>
                <w:rFonts w:hint="eastAsia"/>
                <w:bCs/>
                <w:iCs/>
                <w:szCs w:val="21"/>
                <w:lang w:eastAsia="zh-CN"/>
              </w:rPr>
              <w:t>我们</w:t>
            </w:r>
            <w:r>
              <w:rPr>
                <w:rFonts w:hint="eastAsia"/>
                <w:bCs/>
                <w:iCs/>
                <w:szCs w:val="21"/>
                <w:lang w:eastAsia="zh-CN"/>
              </w:rPr>
              <w:t>了</w:t>
            </w:r>
            <w:r>
              <w:rPr>
                <w:rFonts w:hint="eastAsia"/>
                <w:bCs/>
                <w:iCs/>
                <w:szCs w:val="21"/>
                <w:lang w:eastAsia="zh-CN"/>
              </w:rPr>
              <w:t>解</w:t>
            </w:r>
            <w:r>
              <w:rPr>
                <w:rFonts w:hint="eastAsia"/>
                <w:bCs/>
                <w:iCs/>
                <w:szCs w:val="21"/>
                <w:lang w:eastAsia="zh-CN"/>
              </w:rPr>
              <w:t>的</w:t>
            </w:r>
            <w:r>
              <w:rPr>
                <w:rFonts w:hint="eastAsia"/>
                <w:bCs/>
                <w:iCs/>
                <w:szCs w:val="21"/>
                <w:lang w:eastAsia="zh-CN"/>
              </w:rPr>
              <w:t>雄</w:t>
            </w:r>
            <w:r>
              <w:rPr>
                <w:rFonts w:hint="eastAsia"/>
                <w:bCs/>
                <w:iCs/>
                <w:szCs w:val="21"/>
                <w:lang w:eastAsia="zh-CN"/>
              </w:rPr>
              <w:t>安</w:t>
            </w:r>
            <w:r>
              <w:rPr>
                <w:rFonts w:hint="eastAsia"/>
                <w:bCs/>
                <w:iCs/>
                <w:szCs w:val="21"/>
                <w:lang w:eastAsia="zh-CN"/>
              </w:rPr>
              <w:t>新</w:t>
            </w:r>
            <w:r>
              <w:rPr>
                <w:rFonts w:hint="eastAsia"/>
                <w:bCs/>
                <w:iCs/>
                <w:szCs w:val="21"/>
                <w:lang w:eastAsia="zh-CN"/>
              </w:rPr>
              <w:t>区</w:t>
            </w:r>
            <w:r>
              <w:rPr>
                <w:rFonts w:hint="eastAsia"/>
                <w:bCs/>
                <w:iCs/>
                <w:szCs w:val="21"/>
              </w:rPr>
              <w:t>相关建设均处于规划中。如有与公司业务相关相近的项目，公司会积极争取。</w:t>
            </w:r>
          </w:p>
          <w:p>
            <w:pPr>
              <w:pStyle w:val="style179"/>
              <w:numPr>
                <w:ilvl w:val="0"/>
                <w:numId w:val="1"/>
              </w:numPr>
              <w:spacing w:lineRule="exact" w:line="380"/>
              <w:ind w:firstLineChars="0"/>
              <w:rPr>
                <w:b/>
                <w:bCs/>
                <w:iCs/>
                <w:szCs w:val="21"/>
              </w:rPr>
            </w:pPr>
            <w:r>
              <w:rPr>
                <w:b/>
                <w:bCs/>
                <w:iCs/>
                <w:szCs w:val="21"/>
              </w:rPr>
              <w:t>关于</w:t>
            </w:r>
            <w:r>
              <w:rPr>
                <w:b/>
                <w:bCs/>
                <w:iCs/>
                <w:szCs w:val="21"/>
              </w:rPr>
              <w:t>PPP</w:t>
            </w:r>
            <w:r>
              <w:rPr>
                <w:b/>
                <w:bCs/>
                <w:iCs/>
                <w:szCs w:val="21"/>
              </w:rPr>
              <w:t>业务</w:t>
            </w:r>
            <w:r>
              <w:rPr>
                <w:rFonts w:hint="eastAsia"/>
                <w:b/>
                <w:bCs/>
                <w:iCs/>
                <w:szCs w:val="21"/>
              </w:rPr>
              <w:t>、</w:t>
            </w:r>
            <w:r>
              <w:rPr>
                <w:rFonts w:hint="eastAsia"/>
                <w:b/>
                <w:bCs/>
                <w:iCs/>
                <w:szCs w:val="21"/>
              </w:rPr>
              <w:t>PCCP</w:t>
            </w:r>
            <w:r>
              <w:rPr>
                <w:rFonts w:hint="eastAsia"/>
                <w:b/>
                <w:bCs/>
                <w:iCs/>
                <w:szCs w:val="21"/>
              </w:rPr>
              <w:t>的定位</w:t>
            </w:r>
          </w:p>
          <w:p>
            <w:pPr>
              <w:pStyle w:val="style0"/>
              <w:spacing w:lineRule="exact" w:line="380"/>
              <w:ind w:firstLine="420" w:firstLineChars="200"/>
              <w:rPr>
                <w:bCs/>
                <w:iCs/>
                <w:szCs w:val="21"/>
              </w:rPr>
            </w:pPr>
            <w:r>
              <w:rPr>
                <w:bCs/>
                <w:iCs/>
                <w:szCs w:val="21"/>
              </w:rPr>
              <w:t>答：根据公司</w:t>
            </w:r>
            <w:r>
              <w:rPr>
                <w:bCs/>
                <w:iCs/>
                <w:szCs w:val="21"/>
              </w:rPr>
              <w:t>“</w:t>
            </w:r>
            <w:r>
              <w:rPr>
                <w:bCs/>
                <w:iCs/>
                <w:szCs w:val="21"/>
              </w:rPr>
              <w:t>十三五</w:t>
            </w:r>
            <w:r>
              <w:rPr>
                <w:bCs/>
                <w:iCs/>
                <w:szCs w:val="21"/>
              </w:rPr>
              <w:t>”</w:t>
            </w:r>
            <w:r>
              <w:rPr>
                <w:bCs/>
                <w:iCs/>
                <w:szCs w:val="21"/>
              </w:rPr>
              <w:t>的规划，公司继续坚持保持传统业务行业领先地位，对于与公司业务相关相近的</w:t>
            </w:r>
            <w:r>
              <w:rPr>
                <w:rFonts w:hint="eastAsia"/>
                <w:bCs/>
                <w:iCs/>
                <w:szCs w:val="21"/>
              </w:rPr>
              <w:t>优质</w:t>
            </w:r>
            <w:r>
              <w:rPr>
                <w:rFonts w:hint="eastAsia"/>
                <w:bCs/>
                <w:iCs/>
                <w:szCs w:val="21"/>
                <w:lang w:eastAsia="zh-CN"/>
              </w:rPr>
              <w:t>P</w:t>
            </w:r>
            <w:r>
              <w:rPr>
                <w:rFonts w:hint="eastAsia"/>
                <w:bCs/>
                <w:iCs/>
                <w:szCs w:val="21"/>
                <w:lang w:eastAsia="zh-CN"/>
              </w:rPr>
              <w:t>P</w:t>
            </w:r>
            <w:r>
              <w:rPr>
                <w:rFonts w:hint="eastAsia"/>
                <w:bCs/>
                <w:iCs/>
                <w:szCs w:val="21"/>
                <w:lang w:eastAsia="zh-CN"/>
              </w:rPr>
              <w:t>P</w:t>
            </w:r>
            <w:r>
              <w:rPr>
                <w:bCs/>
                <w:iCs/>
                <w:szCs w:val="21"/>
              </w:rPr>
              <w:t>项目会</w:t>
            </w:r>
            <w:r>
              <w:rPr>
                <w:bCs/>
                <w:iCs/>
                <w:szCs w:val="21"/>
              </w:rPr>
              <w:t>积极介入。</w:t>
            </w:r>
          </w:p>
          <w:p>
            <w:pPr>
              <w:pStyle w:val="style179"/>
              <w:numPr>
                <w:ilvl w:val="0"/>
                <w:numId w:val="1"/>
              </w:numPr>
              <w:spacing w:lineRule="exact" w:line="380"/>
              <w:ind w:firstLineChars="0"/>
              <w:rPr>
                <w:b/>
                <w:bCs/>
                <w:iCs/>
                <w:szCs w:val="21"/>
              </w:rPr>
            </w:pPr>
            <w:r>
              <w:rPr>
                <w:rFonts w:hint="eastAsia"/>
                <w:b/>
                <w:bCs/>
                <w:iCs/>
                <w:szCs w:val="21"/>
              </w:rPr>
              <w:t>针对</w:t>
            </w:r>
            <w:r>
              <w:rPr>
                <w:rFonts w:hint="eastAsia"/>
                <w:b/>
                <w:bCs/>
                <w:iCs/>
                <w:szCs w:val="21"/>
              </w:rPr>
              <w:t>PPP</w:t>
            </w:r>
            <w:r>
              <w:rPr>
                <w:rFonts w:hint="eastAsia"/>
                <w:b/>
                <w:bCs/>
                <w:iCs/>
                <w:szCs w:val="21"/>
              </w:rPr>
              <w:t>项目，公司不负责施工，如何</w:t>
            </w:r>
            <w:r>
              <w:rPr>
                <w:rFonts w:hint="eastAsia"/>
                <w:b/>
                <w:bCs/>
                <w:iCs/>
                <w:szCs w:val="21"/>
              </w:rPr>
              <w:t>确认</w:t>
            </w:r>
            <w:r>
              <w:rPr>
                <w:rFonts w:hint="eastAsia"/>
                <w:b/>
                <w:bCs/>
                <w:iCs/>
                <w:szCs w:val="21"/>
              </w:rPr>
              <w:t>收入</w:t>
            </w:r>
          </w:p>
          <w:p>
            <w:pPr>
              <w:pStyle w:val="style0"/>
              <w:spacing w:lineRule="exact" w:line="380"/>
              <w:ind w:firstLine="420" w:firstLineChars="200"/>
              <w:rPr>
                <w:bCs/>
                <w:iCs/>
                <w:szCs w:val="21"/>
              </w:rPr>
            </w:pPr>
            <w:r>
              <w:rPr>
                <w:bCs/>
                <w:iCs/>
                <w:szCs w:val="21"/>
              </w:rPr>
              <w:t>答：</w:t>
            </w:r>
            <w:r>
              <w:rPr>
                <w:rFonts w:hint="eastAsia"/>
                <w:bCs/>
                <w:iCs/>
                <w:szCs w:val="21"/>
              </w:rPr>
              <w:t>目前公司的</w:t>
            </w:r>
            <w:r>
              <w:rPr>
                <w:bCs/>
                <w:iCs/>
                <w:szCs w:val="21"/>
              </w:rPr>
              <w:t>施工资质为市政工程总承包三级</w:t>
            </w:r>
            <w:r>
              <w:rPr>
                <w:rFonts w:hint="eastAsia"/>
                <w:bCs/>
                <w:iCs/>
                <w:szCs w:val="21"/>
              </w:rPr>
              <w:t>，</w:t>
            </w:r>
            <w:r>
              <w:rPr>
                <w:bCs/>
                <w:iCs/>
                <w:szCs w:val="21"/>
              </w:rPr>
              <w:t>一般</w:t>
            </w:r>
            <w:r>
              <w:rPr>
                <w:rFonts w:hint="eastAsia"/>
                <w:bCs/>
                <w:iCs/>
                <w:szCs w:val="21"/>
              </w:rPr>
              <w:t>PPP</w:t>
            </w:r>
            <w:r>
              <w:rPr>
                <w:rFonts w:hint="eastAsia"/>
                <w:bCs/>
                <w:iCs/>
                <w:szCs w:val="21"/>
              </w:rPr>
              <w:t>项目的资质和业绩要求在一级及以上。目前公司与长期合作的央企组成联合体，参与相关项目的建设，在公司资质力所能及的范围内做些分包或提供项目中所涉及的公司产品</w:t>
            </w:r>
            <w:r>
              <w:rPr>
                <w:rFonts w:hint="eastAsia"/>
                <w:bCs/>
                <w:iCs/>
                <w:szCs w:val="21"/>
              </w:rPr>
              <w:t>。同时部分合同中收取建设管理费。</w:t>
            </w:r>
          </w:p>
          <w:p>
            <w:pPr>
              <w:pStyle w:val="style179"/>
              <w:numPr>
                <w:ilvl w:val="0"/>
                <w:numId w:val="1"/>
              </w:numPr>
              <w:spacing w:lineRule="exact" w:line="380"/>
              <w:ind w:firstLineChars="0"/>
              <w:rPr>
                <w:b/>
                <w:bCs/>
                <w:iCs/>
                <w:szCs w:val="21"/>
              </w:rPr>
            </w:pPr>
            <w:r>
              <w:rPr>
                <w:rFonts w:hint="eastAsia"/>
                <w:b/>
                <w:bCs/>
                <w:iCs/>
                <w:szCs w:val="21"/>
              </w:rPr>
              <w:t>公司承接多个</w:t>
            </w:r>
            <w:r>
              <w:rPr>
                <w:rFonts w:hint="eastAsia"/>
                <w:b/>
                <w:bCs/>
                <w:iCs/>
                <w:szCs w:val="21"/>
              </w:rPr>
              <w:t>PPP</w:t>
            </w:r>
            <w:r>
              <w:rPr>
                <w:rFonts w:hint="eastAsia"/>
                <w:b/>
                <w:bCs/>
                <w:iCs/>
                <w:szCs w:val="21"/>
              </w:rPr>
              <w:t>项目</w:t>
            </w:r>
            <w:r>
              <w:rPr>
                <w:rFonts w:hint="eastAsia"/>
                <w:b/>
                <w:bCs/>
                <w:iCs/>
                <w:szCs w:val="21"/>
              </w:rPr>
              <w:t>，如何解决融资问题</w:t>
            </w:r>
          </w:p>
          <w:p>
            <w:pPr>
              <w:pStyle w:val="style0"/>
              <w:spacing w:lineRule="exact" w:line="380"/>
              <w:ind w:firstLine="420" w:firstLineChars="200"/>
              <w:rPr>
                <w:bCs/>
                <w:iCs/>
                <w:szCs w:val="21"/>
              </w:rPr>
            </w:pPr>
            <w:r>
              <w:rPr>
                <w:bCs/>
                <w:iCs/>
                <w:szCs w:val="21"/>
              </w:rPr>
              <w:t>答</w:t>
            </w:r>
            <w:r>
              <w:rPr>
                <w:rFonts w:hint="eastAsia"/>
                <w:bCs/>
                <w:iCs/>
                <w:szCs w:val="21"/>
              </w:rPr>
              <w:t>：</w:t>
            </w:r>
            <w:r>
              <w:rPr>
                <w:rFonts w:hint="eastAsia"/>
                <w:bCs/>
                <w:iCs/>
                <w:szCs w:val="21"/>
              </w:rPr>
              <w:t>PPP</w:t>
            </w:r>
            <w:r>
              <w:rPr>
                <w:rFonts w:hint="eastAsia"/>
                <w:bCs/>
                <w:iCs/>
                <w:szCs w:val="21"/>
              </w:rPr>
              <w:t>项目落地率不同，</w:t>
            </w:r>
            <w:r>
              <w:rPr>
                <w:rFonts w:hint="eastAsia"/>
                <w:bCs/>
                <w:iCs/>
                <w:szCs w:val="21"/>
              </w:rPr>
              <w:t>完成的融资程度不同。目前公司的融资主要是通过银行贷款进行的，同时公司也会</w:t>
            </w:r>
            <w:r>
              <w:rPr>
                <w:rFonts w:hint="eastAsia"/>
                <w:bCs/>
                <w:iCs/>
                <w:szCs w:val="21"/>
              </w:rPr>
              <w:t>适时</w:t>
            </w:r>
            <w:r>
              <w:rPr>
                <w:rFonts w:hint="eastAsia"/>
                <w:bCs/>
                <w:iCs/>
                <w:szCs w:val="21"/>
              </w:rPr>
              <w:t>考虑其他</w:t>
            </w:r>
            <w:r>
              <w:rPr>
                <w:rFonts w:hint="eastAsia"/>
                <w:bCs/>
                <w:iCs/>
                <w:szCs w:val="21"/>
              </w:rPr>
              <w:t>融资方式获得资金支持，保证项目正常开展，谢谢！</w:t>
            </w:r>
          </w:p>
        </w:tc>
      </w:tr>
      <w:tr>
        <w:tblPrEx/>
        <w:trPr/>
        <w:tc>
          <w:tcPr>
            <w:tcW w:w="3119" w:type="dxa"/>
            <w:tcBorders/>
            <w:shd w:val="clear" w:color="auto" w:fill="auto"/>
            <w:vAlign w:val="center"/>
          </w:tcPr>
          <w:p>
            <w:pPr>
              <w:pStyle w:val="style0"/>
              <w:spacing w:lineRule="exact" w:line="380"/>
              <w:jc w:val="center"/>
              <w:rPr>
                <w:b/>
                <w:bCs/>
                <w:iCs/>
                <w:szCs w:val="21"/>
              </w:rPr>
            </w:pPr>
            <w:r>
              <w:rPr>
                <w:b/>
                <w:bCs/>
                <w:iCs/>
                <w:szCs w:val="21"/>
              </w:rPr>
              <w:t>附件清单（如有）</w:t>
            </w:r>
          </w:p>
        </w:tc>
        <w:tc>
          <w:tcPr>
            <w:tcW w:w="7088" w:type="dxa"/>
            <w:tcBorders/>
            <w:shd w:val="clear" w:color="auto" w:fill="auto"/>
            <w:vAlign w:val="center"/>
          </w:tcPr>
          <w:p>
            <w:pPr>
              <w:pStyle w:val="style0"/>
              <w:spacing w:lineRule="exact" w:line="380"/>
              <w:rPr>
                <w:bCs/>
                <w:iCs/>
                <w:szCs w:val="21"/>
              </w:rPr>
            </w:pPr>
            <w:r>
              <w:rPr>
                <w:bCs/>
                <w:iCs/>
                <w:szCs w:val="21"/>
              </w:rPr>
              <w:t>无</w:t>
            </w:r>
          </w:p>
        </w:tc>
      </w:tr>
      <w:tr>
        <w:tblPrEx/>
        <w:trPr>
          <w:trHeight w:val="151" w:hRule="atLeast"/>
        </w:trPr>
        <w:tc>
          <w:tcPr>
            <w:tcW w:w="3119" w:type="dxa"/>
            <w:tcBorders/>
            <w:shd w:val="clear" w:color="auto" w:fill="auto"/>
            <w:vAlign w:val="center"/>
          </w:tcPr>
          <w:p>
            <w:pPr>
              <w:pStyle w:val="style0"/>
              <w:spacing w:lineRule="exact" w:line="380"/>
              <w:jc w:val="center"/>
              <w:rPr>
                <w:b/>
                <w:bCs/>
                <w:iCs/>
                <w:szCs w:val="21"/>
              </w:rPr>
            </w:pPr>
            <w:r>
              <w:rPr>
                <w:b/>
                <w:bCs/>
                <w:iCs/>
                <w:szCs w:val="21"/>
              </w:rPr>
              <w:t>日期</w:t>
            </w:r>
          </w:p>
        </w:tc>
        <w:tc>
          <w:tcPr>
            <w:tcW w:w="7088" w:type="dxa"/>
            <w:tcBorders/>
            <w:shd w:val="clear" w:color="auto" w:fill="auto"/>
          </w:tcPr>
          <w:p>
            <w:pPr>
              <w:pStyle w:val="style0"/>
              <w:spacing w:lineRule="exact" w:line="380"/>
              <w:rPr>
                <w:bCs/>
                <w:iCs/>
                <w:szCs w:val="21"/>
              </w:rPr>
            </w:pPr>
            <w:r>
              <w:rPr>
                <w:bCs/>
                <w:iCs/>
                <w:szCs w:val="21"/>
              </w:rPr>
              <w:t>2017</w:t>
            </w:r>
            <w:r>
              <w:rPr>
                <w:bCs/>
                <w:iCs/>
                <w:szCs w:val="21"/>
              </w:rPr>
              <w:t>年</w:t>
            </w:r>
            <w:r>
              <w:rPr>
                <w:rFonts w:hint="eastAsia"/>
                <w:bCs/>
                <w:iCs/>
                <w:szCs w:val="21"/>
              </w:rPr>
              <w:t>9</w:t>
            </w:r>
            <w:r>
              <w:rPr>
                <w:bCs/>
                <w:iCs/>
                <w:szCs w:val="21"/>
              </w:rPr>
              <w:t>月</w:t>
            </w:r>
            <w:r>
              <w:rPr>
                <w:rFonts w:hint="eastAsia"/>
                <w:bCs/>
                <w:iCs/>
                <w:szCs w:val="21"/>
              </w:rPr>
              <w:t>13</w:t>
            </w:r>
            <w:r>
              <w:rPr>
                <w:bCs/>
                <w:iCs/>
                <w:szCs w:val="21"/>
              </w:rPr>
              <w:t>日</w:t>
            </w:r>
          </w:p>
        </w:tc>
      </w:tr>
    </w:tbl>
    <w:p>
      <w:pPr>
        <w:pStyle w:val="style0"/>
        <w:tabs>
          <w:tab w:val="left" w:leader="none" w:pos="1050"/>
        </w:tabs>
        <w:rPr>
          <w:sz w:val="24"/>
          <w:szCs w:val="24"/>
        </w:rPr>
      </w:pPr>
    </w:p>
    <w:p>
      <w:pPr>
        <w:pStyle w:val="style0"/>
        <w:tabs>
          <w:tab w:val="left" w:leader="none" w:pos="1050"/>
        </w:tabs>
        <w:rPr>
          <w:sz w:val="24"/>
          <w:szCs w:val="24"/>
        </w:rPr>
      </w:pPr>
    </w:p>
    <w:sectPr>
      <w:pgSz w:w="11906" w:h="16838" w:orient="portrait"/>
      <w:pgMar w:top="1440" w:right="1797" w:bottom="1440" w:left="1797"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CD24AB2"/>
    <w:lvl w:ilvl="0" w:tplc="F98C21D8">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0000001"/>
    <w:multiLevelType w:val="hybridMultilevel"/>
    <w:tmpl w:val="2572025E"/>
    <w:lvl w:ilvl="0" w:tplc="5ED0B8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kern w:val="2"/>
        <w:sz w:val="21"/>
        <w:szCs w:val="22"/>
        <w:lang w:val="en-US" w:bidi="ar-SA" w:eastAsia="zh-CN"/>
      </w:rPr>
    </w:rPrDefault>
    <w:pPrDefault>
      <w:pPr/>
    </w:pPrDefault>
  </w:docDefaults>
  <w:style w:type="paragraph" w:default="1" w:styleId="style0">
    <w:name w:val="Normal"/>
    <w:next w:val="style0"/>
    <w:qFormat/>
    <w:pPr>
      <w:widowControl w:val="false"/>
      <w:jc w:val="both"/>
    </w:pPr>
    <w:rPr>
      <w:rFonts w:ascii="Times New Roman" w:cs="Times New Roman" w:eastAsia="宋体" w:hAnsi="Times New Roman"/>
      <w:szCs w:val="20"/>
    </w:rPr>
  </w:style>
  <w:style w:type="paragraph" w:styleId="style1">
    <w:name w:val="heading 1"/>
    <w:basedOn w:val="style0"/>
    <w:next w:val="style0"/>
    <w:link w:val="style4097"/>
    <w:qFormat/>
    <w:uiPriority w:val="99"/>
    <w:pPr>
      <w:keepNext/>
      <w:keepLines/>
      <w:spacing w:before="340" w:after="330" w:lineRule="auto" w:line="578"/>
      <w:outlineLvl w:val="0"/>
    </w:pPr>
    <w:rPr>
      <w:b/>
      <w:bCs/>
      <w:kern w:val="44"/>
      <w:sz w:val="44"/>
      <w:szCs w:val="44"/>
    </w:rPr>
  </w:style>
  <w:style w:type="paragraph" w:styleId="style2">
    <w:name w:val="heading 2"/>
    <w:basedOn w:val="style0"/>
    <w:next w:val="style0"/>
    <w:link w:val="style4098"/>
    <w:qFormat/>
    <w:uiPriority w:val="9"/>
    <w:pPr>
      <w:keepNext/>
      <w:keepLines/>
      <w:spacing w:before="260" w:after="260" w:lineRule="auto" w:line="416"/>
      <w:outlineLvl w:val="1"/>
    </w:pPr>
    <w:rPr>
      <w:rFonts w:ascii="Cambria" w:cs="宋体" w:eastAsia="宋体" w:hAnsi="Cambria"/>
      <w:b/>
      <w:bCs/>
      <w:sz w:val="32"/>
      <w:szCs w:val="32"/>
    </w:rPr>
  </w:style>
  <w:style w:type="paragraph" w:styleId="style3">
    <w:name w:val="heading 3"/>
    <w:basedOn w:val="style0"/>
    <w:next w:val="style0"/>
    <w:link w:val="style4099"/>
    <w:qFormat/>
    <w:uiPriority w:val="9"/>
    <w:pPr>
      <w:keepNext/>
      <w:keepLines/>
      <w:spacing w:before="260" w:after="260" w:lineRule="auto" w:line="416"/>
      <w:outlineLvl w:val="2"/>
    </w:pPr>
    <w:rPr>
      <w:b/>
      <w:bCs/>
      <w:sz w:val="32"/>
      <w:szCs w:val="3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标题 1 Char"/>
    <w:basedOn w:val="style65"/>
    <w:next w:val="style4097"/>
    <w:link w:val="style1"/>
    <w:uiPriority w:val="99"/>
    <w:rPr>
      <w:rFonts w:ascii="Times New Roman" w:cs="Times New Roman" w:eastAsia="宋体" w:hAnsi="Times New Roman"/>
      <w:b/>
      <w:bCs/>
      <w:kern w:val="44"/>
      <w:sz w:val="44"/>
      <w:szCs w:val="44"/>
    </w:rPr>
  </w:style>
  <w:style w:type="character" w:customStyle="1" w:styleId="style4098">
    <w:name w:val="标题 2 Char"/>
    <w:basedOn w:val="style65"/>
    <w:next w:val="style4098"/>
    <w:link w:val="style2"/>
    <w:uiPriority w:val="9"/>
    <w:rPr>
      <w:rFonts w:ascii="Cambria" w:cs="宋体" w:eastAsia="宋体" w:hAnsi="Cambria"/>
      <w:b/>
      <w:bCs/>
      <w:sz w:val="32"/>
      <w:szCs w:val="32"/>
    </w:rPr>
  </w:style>
  <w:style w:type="character" w:customStyle="1" w:styleId="style4099">
    <w:name w:val="标题 3 Char"/>
    <w:basedOn w:val="style65"/>
    <w:next w:val="style4099"/>
    <w:link w:val="style3"/>
    <w:uiPriority w:val="9"/>
    <w:rPr>
      <w:rFonts w:ascii="Times New Roman" w:cs="Times New Roman" w:eastAsia="宋体" w:hAnsi="Times New Roman"/>
      <w:b/>
      <w:bCs/>
      <w:sz w:val="32"/>
      <w:szCs w:val="32"/>
    </w:rPr>
  </w:style>
  <w:style w:type="paragraph" w:styleId="style157">
    <w:name w:val="No Spacing"/>
    <w:next w:val="style157"/>
    <w:link w:val="style4100"/>
    <w:qFormat/>
    <w:uiPriority w:val="1"/>
    <w:pPr/>
    <w:rPr>
      <w:kern w:val="0"/>
      <w:sz w:val="22"/>
    </w:rPr>
  </w:style>
  <w:style w:type="character" w:customStyle="1" w:styleId="style4100">
    <w:name w:val="无间隔 Char"/>
    <w:basedOn w:val="style65"/>
    <w:next w:val="style4100"/>
    <w:link w:val="style157"/>
    <w:uiPriority w:val="1"/>
    <w:rPr>
      <w:kern w:val="0"/>
      <w:sz w:val="22"/>
    </w:rPr>
  </w:style>
  <w:style w:type="paragraph" w:styleId="style153">
    <w:name w:val="Balloon Text"/>
    <w:basedOn w:val="style0"/>
    <w:next w:val="style153"/>
    <w:link w:val="style4101"/>
    <w:uiPriority w:val="99"/>
    <w:pPr/>
    <w:rPr>
      <w:sz w:val="18"/>
      <w:szCs w:val="18"/>
    </w:rPr>
  </w:style>
  <w:style w:type="character" w:customStyle="1" w:styleId="style4101">
    <w:name w:val="批注框文本 Char"/>
    <w:basedOn w:val="style65"/>
    <w:next w:val="style4101"/>
    <w:link w:val="style153"/>
    <w:uiPriority w:val="99"/>
    <w:rPr>
      <w:rFonts w:ascii="Times New Roman" w:cs="Times New Roman" w:eastAsia="宋体" w:hAnsi="Times New Roman"/>
      <w:sz w:val="18"/>
      <w:szCs w:val="18"/>
    </w:rPr>
  </w:style>
  <w:style w:type="paragraph" w:styleId="style266">
    <w:name w:val="TOC Heading"/>
    <w:basedOn w:val="style1"/>
    <w:next w:val="style0"/>
    <w:qFormat/>
    <w:uiPriority w:val="39"/>
    <w:pPr>
      <w:widowControl/>
      <w:spacing w:before="480" w:after="0" w:lineRule="auto" w:line="276"/>
      <w:jc w:val="left"/>
      <w:outlineLvl w:val="9"/>
    </w:pPr>
    <w:rPr>
      <w:rFonts w:ascii="Cambria" w:cs="宋体" w:eastAsia="宋体" w:hAnsi="Cambria"/>
      <w:color w:val="365f91"/>
      <w:kern w:val="0"/>
      <w:sz w:val="28"/>
      <w:szCs w:val="28"/>
    </w:rPr>
  </w:style>
  <w:style w:type="paragraph" w:styleId="style20">
    <w:name w:val="toc 2"/>
    <w:basedOn w:val="style0"/>
    <w:next w:val="style0"/>
    <w:uiPriority w:val="39"/>
    <w:pPr>
      <w:ind w:left="420" w:leftChars="200"/>
    </w:pPr>
    <w:rPr>
      <w:sz w:val="28"/>
    </w:rPr>
  </w:style>
  <w:style w:type="character" w:styleId="style85">
    <w:name w:val="Hyperlink"/>
    <w:basedOn w:val="style65"/>
    <w:next w:val="style85"/>
    <w:uiPriority w:val="99"/>
    <w:rPr>
      <w:color w:val="0000ff"/>
      <w:u w:val="single"/>
    </w:rPr>
  </w:style>
  <w:style w:type="paragraph" w:styleId="style19">
    <w:name w:val="toc 1"/>
    <w:basedOn w:val="style0"/>
    <w:next w:val="style0"/>
    <w:uiPriority w:val="39"/>
    <w:pPr/>
    <w:rPr>
      <w:sz w:val="28"/>
    </w:rPr>
  </w:style>
  <w:style w:type="paragraph" w:styleId="style31">
    <w:name w:val="header"/>
    <w:basedOn w:val="style0"/>
    <w:next w:val="style31"/>
    <w:link w:val="style4102"/>
    <w:uiPriority w:val="99"/>
    <w:pPr>
      <w:pBdr>
        <w:bottom w:val="single" w:sz="6" w:space="1" w:color="auto"/>
      </w:pBdr>
      <w:tabs>
        <w:tab w:val="center" w:leader="none" w:pos="4153"/>
        <w:tab w:val="right" w:leader="none" w:pos="8306"/>
      </w:tabs>
      <w:snapToGrid w:val="false"/>
      <w:jc w:val="center"/>
    </w:pPr>
    <w:rPr>
      <w:sz w:val="18"/>
      <w:szCs w:val="18"/>
    </w:rPr>
  </w:style>
  <w:style w:type="character" w:customStyle="1" w:styleId="style4102">
    <w:name w:val="页眉 Char"/>
    <w:basedOn w:val="style65"/>
    <w:next w:val="style4102"/>
    <w:link w:val="style31"/>
    <w:uiPriority w:val="99"/>
    <w:rPr>
      <w:rFonts w:ascii="Times New Roman" w:cs="Times New Roman" w:eastAsia="宋体" w:hAnsi="Times New Roman"/>
      <w:sz w:val="18"/>
      <w:szCs w:val="18"/>
    </w:rPr>
  </w:style>
  <w:style w:type="paragraph" w:styleId="style32">
    <w:name w:val="footer"/>
    <w:basedOn w:val="style0"/>
    <w:next w:val="style32"/>
    <w:link w:val="style4103"/>
    <w:uiPriority w:val="99"/>
    <w:pPr>
      <w:tabs>
        <w:tab w:val="center" w:leader="none" w:pos="4153"/>
        <w:tab w:val="right" w:leader="none" w:pos="8306"/>
      </w:tabs>
      <w:snapToGrid w:val="false"/>
      <w:jc w:val="left"/>
    </w:pPr>
    <w:rPr>
      <w:sz w:val="18"/>
      <w:szCs w:val="18"/>
    </w:rPr>
  </w:style>
  <w:style w:type="character" w:customStyle="1" w:styleId="style4103">
    <w:name w:val="页脚 Char"/>
    <w:basedOn w:val="style65"/>
    <w:next w:val="style4103"/>
    <w:link w:val="style32"/>
    <w:uiPriority w:val="99"/>
    <w:rPr>
      <w:rFonts w:ascii="Times New Roman" w:cs="Times New Roman" w:eastAsia="宋体" w:hAnsi="Times New Roman"/>
      <w:sz w:val="18"/>
      <w:szCs w:val="18"/>
    </w:rPr>
  </w:style>
  <w:style w:type="paragraph" w:styleId="style179">
    <w:name w:val="List Paragraph"/>
    <w:basedOn w:val="style0"/>
    <w:next w:val="style179"/>
    <w:qFormat/>
    <w:uiPriority w:val="34"/>
    <w:pPr>
      <w:ind w:firstLine="420" w:firstLineChars="200"/>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customXml" Target="../customXml/item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92844-6F7A-4C03-9C25-EDA1926AC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Words>1164</Words>
  <Pages>2</Pages>
  <Characters>1215</Characters>
  <Application>WPS Office</Application>
  <DocSecurity>0</DocSecurity>
  <Paragraphs>47</Paragraphs>
  <ScaleCrop>false</ScaleCrop>
  <LinksUpToDate>false</LinksUpToDate>
  <CharactersWithSpaces>1352</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2016-07-06T06:37:00Z</dcterms:created>
  <dc:creator>王忻[xinwang]</dc:creator>
  <lastModifiedBy>HUAWEI NXT-AL10</lastModifiedBy>
  <dcterms:modified xsi:type="dcterms:W3CDTF">2017-09-13T11:10:29Z</dcterms:modified>
  <revision>24</revision>
</coreProperties>
</file>

<file path=docProps/custom.xml><?xml version="1.0" encoding="utf-8"?>
<Properties xmlns="http://schemas.openxmlformats.org/officeDocument/2006/custom-properties" xmlns:vt="http://schemas.openxmlformats.org/officeDocument/2006/docPropsVTypes"/>
</file>